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B39D" w14:textId="7CA9B807" w:rsidR="00B14CEB" w:rsidRPr="0012168F" w:rsidRDefault="00981F6F" w:rsidP="00EC1786">
      <w:pPr>
        <w:jc w:val="center"/>
        <w:rPr>
          <w:rFonts w:ascii="Calibri" w:hAnsi="Calibri" w:cs="Calibri"/>
          <w:b/>
          <w:bCs/>
          <w:lang w:val="en-ZA"/>
        </w:rPr>
      </w:pPr>
      <w:r w:rsidRPr="0012168F">
        <w:rPr>
          <w:rFonts w:ascii="Calibri" w:hAnsi="Calibri" w:cs="Calibri"/>
          <w:b/>
          <w:bCs/>
          <w:lang w:val="en-ZA"/>
        </w:rPr>
        <w:t xml:space="preserve">Southern Africa GBV Prevention </w:t>
      </w:r>
      <w:r w:rsidR="00F95341">
        <w:rPr>
          <w:rFonts w:ascii="Calibri" w:hAnsi="Calibri" w:cs="Calibri"/>
          <w:b/>
          <w:bCs/>
          <w:lang w:val="en-ZA"/>
        </w:rPr>
        <w:t>Forum</w:t>
      </w:r>
    </w:p>
    <w:p w14:paraId="165FC71E" w14:textId="189ED168" w:rsidR="00981F6F" w:rsidRPr="0012168F" w:rsidRDefault="00CE0321" w:rsidP="00EC1786">
      <w:pPr>
        <w:jc w:val="center"/>
        <w:rPr>
          <w:rFonts w:ascii="Calibri" w:hAnsi="Calibri" w:cs="Calibri"/>
          <w:b/>
          <w:bCs/>
          <w:lang w:val="en-ZA"/>
        </w:rPr>
      </w:pPr>
      <w:r w:rsidRPr="0012168F">
        <w:rPr>
          <w:rFonts w:ascii="Calibri" w:hAnsi="Calibri" w:cs="Calibri"/>
          <w:b/>
          <w:bCs/>
          <w:lang w:val="en-ZA"/>
        </w:rPr>
        <w:t>Building Bridges: Strengthening Collaborative Efforts for GBV Prevention and Response in Southern Africa</w:t>
      </w:r>
    </w:p>
    <w:p w14:paraId="51AD8D0C" w14:textId="3DC5FE6B" w:rsidR="00EC1786" w:rsidRDefault="00167959" w:rsidP="00EC1786">
      <w:pPr>
        <w:jc w:val="center"/>
        <w:rPr>
          <w:rFonts w:ascii="Calibri" w:hAnsi="Calibri" w:cs="Calibri"/>
          <w:b/>
          <w:bCs/>
          <w:lang w:val="en-ZA"/>
        </w:rPr>
      </w:pPr>
      <w:r w:rsidRPr="0012168F">
        <w:rPr>
          <w:rFonts w:ascii="Calibri" w:hAnsi="Calibri" w:cs="Calibri"/>
          <w:b/>
          <w:bCs/>
          <w:lang w:val="en-ZA"/>
        </w:rPr>
        <w:t xml:space="preserve">19-21 </w:t>
      </w:r>
      <w:r w:rsidR="00EC1786" w:rsidRPr="0012168F">
        <w:rPr>
          <w:rFonts w:ascii="Calibri" w:hAnsi="Calibri" w:cs="Calibri"/>
          <w:b/>
          <w:bCs/>
          <w:lang w:val="en-ZA"/>
        </w:rPr>
        <w:t>August 2025</w:t>
      </w:r>
    </w:p>
    <w:p w14:paraId="5965D7D8" w14:textId="0BEAF3BF" w:rsidR="0012168F" w:rsidRPr="0012168F" w:rsidRDefault="0012168F" w:rsidP="00EC1786">
      <w:pPr>
        <w:jc w:val="center"/>
        <w:rPr>
          <w:rFonts w:ascii="Calibri" w:hAnsi="Calibri" w:cs="Calibri"/>
          <w:b/>
          <w:bCs/>
          <w:lang w:val="en-ZA"/>
        </w:rPr>
      </w:pPr>
      <w:r>
        <w:rPr>
          <w:rFonts w:ascii="Calibri" w:hAnsi="Calibri" w:cs="Calibri"/>
          <w:b/>
          <w:bCs/>
          <w:lang w:val="en-ZA"/>
        </w:rPr>
        <w:t>Midrand</w:t>
      </w:r>
    </w:p>
    <w:p w14:paraId="73667B80" w14:textId="40F7AFEC" w:rsidR="00981F6F" w:rsidRPr="0012168F" w:rsidRDefault="279FA7BA" w:rsidP="00EC1786">
      <w:pPr>
        <w:jc w:val="both"/>
        <w:rPr>
          <w:rFonts w:ascii="Calibri" w:hAnsi="Calibri" w:cs="Calibri"/>
          <w:b/>
          <w:bCs/>
          <w:lang w:val="en-ZA"/>
        </w:rPr>
      </w:pPr>
      <w:r w:rsidRPr="5FB52863">
        <w:rPr>
          <w:rFonts w:ascii="Calibri" w:hAnsi="Calibri" w:cs="Calibri"/>
          <w:b/>
          <w:bCs/>
          <w:lang w:val="en-ZA"/>
        </w:rPr>
        <w:t>Background</w:t>
      </w:r>
    </w:p>
    <w:p w14:paraId="5822E0E8" w14:textId="22099FD9" w:rsidR="370A5A3D" w:rsidRDefault="370A5A3D" w:rsidP="5FB52863">
      <w:pPr>
        <w:rPr>
          <w:rFonts w:ascii="Calibri" w:eastAsia="Calibri" w:hAnsi="Calibri" w:cs="Calibri"/>
          <w:lang w:val="en-ZA"/>
        </w:rPr>
      </w:pPr>
      <w:r w:rsidRPr="5FB52863">
        <w:rPr>
          <w:rFonts w:ascii="Calibri" w:hAnsi="Calibri" w:cs="Calibri"/>
          <w:lang w:val="en-ZA"/>
        </w:rPr>
        <w:t xml:space="preserve">The third Southern Africa GBV </w:t>
      </w:r>
      <w:r w:rsidR="0008571E">
        <w:rPr>
          <w:rFonts w:ascii="Calibri" w:hAnsi="Calibri" w:cs="Calibri"/>
          <w:lang w:val="en-ZA"/>
        </w:rPr>
        <w:t>Prevention Forum</w:t>
      </w:r>
      <w:r w:rsidR="00F95341">
        <w:rPr>
          <w:rFonts w:ascii="Calibri" w:hAnsi="Calibri" w:cs="Calibri"/>
          <w:lang w:val="en-ZA"/>
        </w:rPr>
        <w:t>,</w:t>
      </w:r>
      <w:r w:rsidR="21492164" w:rsidRPr="5FB52863">
        <w:rPr>
          <w:rFonts w:ascii="Calibri" w:hAnsi="Calibri" w:cs="Calibri"/>
          <w:lang w:val="en-ZA"/>
        </w:rPr>
        <w:t xml:space="preserve"> scheduled for August, takes place at a time when the fight </w:t>
      </w:r>
      <w:r w:rsidR="21492164" w:rsidRPr="5FB52863">
        <w:rPr>
          <w:rFonts w:ascii="Calibri" w:eastAsia="Calibri" w:hAnsi="Calibri" w:cs="Calibri"/>
          <w:lang w:val="en-ZA"/>
        </w:rPr>
        <w:t>against gender-based violence (GBV)</w:t>
      </w:r>
      <w:r w:rsidR="621C8A75" w:rsidRPr="5FB52863">
        <w:rPr>
          <w:rFonts w:ascii="Calibri" w:eastAsia="Calibri" w:hAnsi="Calibri" w:cs="Calibri"/>
          <w:lang w:val="en-ZA"/>
        </w:rPr>
        <w:t xml:space="preserve"> in </w:t>
      </w:r>
      <w:r w:rsidR="00945015">
        <w:rPr>
          <w:rFonts w:ascii="Calibri" w:eastAsia="Calibri" w:hAnsi="Calibri" w:cs="Calibri"/>
          <w:lang w:val="en-ZA"/>
        </w:rPr>
        <w:t>S</w:t>
      </w:r>
      <w:r w:rsidR="621C8A75" w:rsidRPr="5FB52863">
        <w:rPr>
          <w:rFonts w:ascii="Calibri" w:eastAsia="Calibri" w:hAnsi="Calibri" w:cs="Calibri"/>
          <w:lang w:val="en-ZA"/>
        </w:rPr>
        <w:t>outhern Africa</w:t>
      </w:r>
      <w:r w:rsidR="21492164" w:rsidRPr="5FB52863">
        <w:rPr>
          <w:rFonts w:ascii="Calibri" w:eastAsia="Calibri" w:hAnsi="Calibri" w:cs="Calibri"/>
          <w:lang w:val="en-ZA"/>
        </w:rPr>
        <w:t xml:space="preserve"> is deeply affected by the </w:t>
      </w:r>
      <w:r w:rsidR="21492164" w:rsidRPr="5FB52863">
        <w:rPr>
          <w:rFonts w:ascii="Calibri" w:eastAsia="Calibri" w:hAnsi="Calibri" w:cs="Calibri"/>
          <w:b/>
          <w:bCs/>
          <w:lang w:val="en-ZA"/>
        </w:rPr>
        <w:t>decline in funding for GBV-related programs</w:t>
      </w:r>
      <w:r w:rsidR="21492164" w:rsidRPr="5FB52863">
        <w:rPr>
          <w:rFonts w:ascii="Calibri" w:eastAsia="Calibri" w:hAnsi="Calibri" w:cs="Calibri"/>
          <w:lang w:val="en-ZA"/>
        </w:rPr>
        <w:t xml:space="preserve">. As global and regional priorities shift, funding for GBV prevention, response, and advocacy is either stagnating or shrinking. This poses several critical </w:t>
      </w:r>
      <w:r w:rsidR="4B03E8EF" w:rsidRPr="5FB52863">
        <w:rPr>
          <w:rFonts w:ascii="Calibri" w:eastAsia="Calibri" w:hAnsi="Calibri" w:cs="Calibri"/>
          <w:lang w:val="en-ZA"/>
        </w:rPr>
        <w:t>challenges to advancing actions against GBV</w:t>
      </w:r>
      <w:r w:rsidR="0EF801A8" w:rsidRPr="5FB52863">
        <w:rPr>
          <w:rFonts w:ascii="Calibri" w:eastAsia="Calibri" w:hAnsi="Calibri" w:cs="Calibri"/>
          <w:lang w:val="en-ZA"/>
        </w:rPr>
        <w:t>. The context of dwindling resourcing</w:t>
      </w:r>
      <w:r w:rsidR="0008571E">
        <w:rPr>
          <w:rFonts w:ascii="Calibri" w:eastAsia="Calibri" w:hAnsi="Calibri" w:cs="Calibri"/>
          <w:lang w:val="en-ZA"/>
        </w:rPr>
        <w:t>,</w:t>
      </w:r>
      <w:r w:rsidR="0EF801A8" w:rsidRPr="5FB52863">
        <w:rPr>
          <w:rFonts w:ascii="Calibri" w:eastAsia="Calibri" w:hAnsi="Calibri" w:cs="Calibri"/>
          <w:lang w:val="en-ZA"/>
        </w:rPr>
        <w:t xml:space="preserve"> however, is also an opportunity for reflection and </w:t>
      </w:r>
      <w:r w:rsidR="0008571E" w:rsidRPr="5FB52863">
        <w:rPr>
          <w:rFonts w:ascii="Calibri" w:eastAsia="Calibri" w:hAnsi="Calibri" w:cs="Calibri"/>
          <w:lang w:val="en-ZA"/>
        </w:rPr>
        <w:t>strategizing</w:t>
      </w:r>
      <w:r w:rsidR="6EC623CD" w:rsidRPr="5FB52863">
        <w:rPr>
          <w:rFonts w:ascii="Calibri" w:eastAsia="Calibri" w:hAnsi="Calibri" w:cs="Calibri"/>
          <w:lang w:val="en-ZA"/>
        </w:rPr>
        <w:t xml:space="preserve"> for accelerated advocacy on key issues that have </w:t>
      </w:r>
      <w:r w:rsidR="0008571E">
        <w:rPr>
          <w:rFonts w:ascii="Calibri" w:eastAsia="Calibri" w:hAnsi="Calibri" w:cs="Calibri"/>
          <w:lang w:val="en-ZA"/>
        </w:rPr>
        <w:t>continued</w:t>
      </w:r>
      <w:r w:rsidR="0ADA33D2" w:rsidRPr="5FB52863">
        <w:rPr>
          <w:rFonts w:ascii="Calibri" w:eastAsia="Calibri" w:hAnsi="Calibri" w:cs="Calibri"/>
          <w:lang w:val="en-ZA"/>
        </w:rPr>
        <w:t xml:space="preserve"> to be highlighted since the first </w:t>
      </w:r>
      <w:r w:rsidR="0008571E">
        <w:rPr>
          <w:rFonts w:ascii="Calibri" w:eastAsia="Calibri" w:hAnsi="Calibri" w:cs="Calibri"/>
          <w:lang w:val="en-ZA"/>
        </w:rPr>
        <w:t>gathering held</w:t>
      </w:r>
      <w:r w:rsidR="0ADA33D2" w:rsidRPr="5FB52863">
        <w:rPr>
          <w:rFonts w:ascii="Calibri" w:eastAsia="Calibri" w:hAnsi="Calibri" w:cs="Calibri"/>
          <w:lang w:val="en-ZA"/>
        </w:rPr>
        <w:t xml:space="preserve"> in 2023.</w:t>
      </w:r>
      <w:r w:rsidR="6EC623CD" w:rsidRPr="5FB52863">
        <w:rPr>
          <w:rFonts w:ascii="Calibri" w:eastAsia="Calibri" w:hAnsi="Calibri" w:cs="Calibri"/>
          <w:lang w:val="en-ZA"/>
        </w:rPr>
        <w:t xml:space="preserve"> </w:t>
      </w:r>
    </w:p>
    <w:p w14:paraId="419C860F" w14:textId="22DD9DFB" w:rsidR="00981F6F" w:rsidRPr="0012168F" w:rsidRDefault="00981F6F" w:rsidP="0012168F">
      <w:pPr>
        <w:rPr>
          <w:rFonts w:ascii="Calibri" w:hAnsi="Calibri" w:cs="Calibri"/>
          <w:lang w:val="en-ZA"/>
        </w:rPr>
      </w:pPr>
      <w:r w:rsidRPr="0012168F">
        <w:rPr>
          <w:rFonts w:ascii="Calibri" w:hAnsi="Calibri" w:cs="Calibri"/>
          <w:lang w:val="en-ZA"/>
        </w:rPr>
        <w:t xml:space="preserve">Building on the discussions from the </w:t>
      </w:r>
      <w:r w:rsidR="007C4ED2" w:rsidRPr="0012168F">
        <w:rPr>
          <w:rFonts w:ascii="Calibri" w:hAnsi="Calibri" w:cs="Calibri"/>
          <w:lang w:val="en-ZA"/>
        </w:rPr>
        <w:t>2024</w:t>
      </w:r>
      <w:r w:rsidRPr="0012168F">
        <w:rPr>
          <w:rFonts w:ascii="Calibri" w:hAnsi="Calibri" w:cs="Calibri"/>
          <w:lang w:val="en-ZA"/>
        </w:rPr>
        <w:t xml:space="preserve"> </w:t>
      </w:r>
      <w:r w:rsidR="0008571E">
        <w:rPr>
          <w:rFonts w:ascii="Calibri" w:hAnsi="Calibri" w:cs="Calibri"/>
          <w:lang w:val="en-ZA"/>
        </w:rPr>
        <w:t>meeting</w:t>
      </w:r>
      <w:r w:rsidRPr="0012168F">
        <w:rPr>
          <w:rFonts w:ascii="Calibri" w:hAnsi="Calibri" w:cs="Calibri"/>
          <w:lang w:val="en-ZA"/>
        </w:rPr>
        <w:t xml:space="preserve"> on preventing GBV in Southern Africa, </w:t>
      </w:r>
      <w:r w:rsidR="00E33682" w:rsidRPr="0012168F">
        <w:rPr>
          <w:rFonts w:ascii="Calibri" w:hAnsi="Calibri" w:cs="Calibri"/>
          <w:lang w:val="en-ZA"/>
        </w:rPr>
        <w:t>the</w:t>
      </w:r>
      <w:r w:rsidRPr="0012168F">
        <w:rPr>
          <w:rFonts w:ascii="Calibri" w:hAnsi="Calibri" w:cs="Calibri"/>
          <w:lang w:val="en-ZA"/>
        </w:rPr>
        <w:t xml:space="preserve"> root causes of GBV—patriarchy, systemic gender inequality, and other social inequities—require integrated, cross-sectoral strategies. The </w:t>
      </w:r>
      <w:r w:rsidR="000D723D">
        <w:rPr>
          <w:rFonts w:ascii="Calibri" w:hAnsi="Calibri" w:cs="Calibri"/>
          <w:lang w:val="en-ZA"/>
        </w:rPr>
        <w:t>meeting</w:t>
      </w:r>
      <w:r w:rsidRPr="0012168F">
        <w:rPr>
          <w:rFonts w:ascii="Calibri" w:hAnsi="Calibri" w:cs="Calibri"/>
          <w:lang w:val="en-ZA"/>
        </w:rPr>
        <w:t xml:space="preserve"> highlighted how cultural, legal, and economic factors contribute to the persistence of GBV despite legal frameworks and international commitments to gender equality.</w:t>
      </w:r>
      <w:r w:rsidR="0012168F" w:rsidRPr="0012168F">
        <w:rPr>
          <w:rFonts w:ascii="Calibri" w:hAnsi="Calibri" w:cs="Calibri"/>
          <w:lang w:val="en-ZA"/>
        </w:rPr>
        <w:t xml:space="preserve"> </w:t>
      </w:r>
      <w:r w:rsidR="0012168F" w:rsidRPr="00F26B0B">
        <w:rPr>
          <w:rFonts w:ascii="Calibri" w:hAnsi="Calibri" w:cs="Calibri"/>
          <w:lang w:val="en-ZA"/>
        </w:rPr>
        <w:t xml:space="preserve">Key learnings from the previous </w:t>
      </w:r>
      <w:r w:rsidR="000D723D">
        <w:rPr>
          <w:rFonts w:ascii="Calibri" w:hAnsi="Calibri" w:cs="Calibri"/>
          <w:lang w:val="en-ZA"/>
        </w:rPr>
        <w:t>meetings</w:t>
      </w:r>
      <w:r w:rsidR="0012168F" w:rsidRPr="00F26B0B">
        <w:rPr>
          <w:rFonts w:ascii="Calibri" w:hAnsi="Calibri" w:cs="Calibri"/>
          <w:lang w:val="en-ZA"/>
        </w:rPr>
        <w:t xml:space="preserve"> revealed that prevention must be prioritised, collaboration must be strengthened, and </w:t>
      </w:r>
      <w:r w:rsidR="0012168F" w:rsidRPr="0012168F">
        <w:rPr>
          <w:rFonts w:ascii="Calibri" w:hAnsi="Calibri" w:cs="Calibri"/>
          <w:lang w:val="en-ZA"/>
        </w:rPr>
        <w:t>including</w:t>
      </w:r>
      <w:r w:rsidR="0012168F" w:rsidRPr="00F26B0B">
        <w:rPr>
          <w:rFonts w:ascii="Calibri" w:hAnsi="Calibri" w:cs="Calibri"/>
          <w:lang w:val="en-ZA"/>
        </w:rPr>
        <w:t xml:space="preserve"> marginalised voices is essential to ensuring no one is left behind in the fight against GBV.</w:t>
      </w:r>
    </w:p>
    <w:p w14:paraId="247A2F66" w14:textId="17EE56EE" w:rsidR="00DA0356" w:rsidRPr="0012168F" w:rsidRDefault="00DA0356" w:rsidP="00DA0356">
      <w:pPr>
        <w:jc w:val="both"/>
        <w:rPr>
          <w:rFonts w:ascii="Calibri" w:hAnsi="Calibri" w:cs="Calibri"/>
          <w:lang w:val="en-ZA"/>
        </w:rPr>
      </w:pPr>
      <w:r w:rsidRPr="0012168F">
        <w:rPr>
          <w:rFonts w:ascii="Calibri" w:hAnsi="Calibri" w:cs="Calibri"/>
          <w:lang w:val="en-ZA"/>
        </w:rPr>
        <w:t xml:space="preserve">Though many Southern African countries have enacted legal frameworks to combat GBV, enforcing these laws remains inconsistent. Existing legal frameworks need to be examined to ensure they are effectively implemented. Too often, gender biases within law enforcement and judicial systems prevent survivors from accessing justice. A deeper understanding of these challenges is necessary to develop targeted reforms. This could include providing sensitivity training to law enforcement and judicial officers and ensuring women are better represented in these institutions. Many survivors of GBV face significant barriers when seeking justice, including discriminatory attitudes, lack of legal support, and re-traumatization during the judicial process. By improving training for legal professionals and reforming judicial processes to be more survivor-centred, the </w:t>
      </w:r>
      <w:r w:rsidR="002439CC">
        <w:rPr>
          <w:rFonts w:ascii="Calibri" w:hAnsi="Calibri" w:cs="Calibri"/>
          <w:lang w:val="en-ZA"/>
        </w:rPr>
        <w:t>forum</w:t>
      </w:r>
      <w:r w:rsidRPr="0012168F">
        <w:rPr>
          <w:rFonts w:ascii="Calibri" w:hAnsi="Calibri" w:cs="Calibri"/>
          <w:lang w:val="en-ZA"/>
        </w:rPr>
        <w:t xml:space="preserve"> aims to improve </w:t>
      </w:r>
      <w:r w:rsidR="002439CC">
        <w:rPr>
          <w:rFonts w:ascii="Calibri" w:hAnsi="Calibri" w:cs="Calibri"/>
          <w:lang w:val="en-ZA"/>
        </w:rPr>
        <w:t>understanding access</w:t>
      </w:r>
      <w:r w:rsidRPr="0012168F">
        <w:rPr>
          <w:rFonts w:ascii="Calibri" w:hAnsi="Calibri" w:cs="Calibri"/>
          <w:lang w:val="en-ZA"/>
        </w:rPr>
        <w:t xml:space="preserve"> to justice. Reforms should include measures to hold perpetrators accountable while offering comprehensive legal protection for survivors. The use of civil litigation and strategic legal action was mentioned during the second symposium to secure survivors' justice. The </w:t>
      </w:r>
      <w:r w:rsidR="002439CC">
        <w:rPr>
          <w:rFonts w:ascii="Calibri" w:hAnsi="Calibri" w:cs="Calibri"/>
          <w:lang w:val="en-ZA"/>
        </w:rPr>
        <w:t>forum</w:t>
      </w:r>
      <w:r w:rsidRPr="0012168F">
        <w:rPr>
          <w:rFonts w:ascii="Calibri" w:hAnsi="Calibri" w:cs="Calibri"/>
          <w:lang w:val="en-ZA"/>
        </w:rPr>
        <w:t xml:space="preserve"> will explore successful regional legal approaches, such as class-action lawsuits, public interest litigation, and human rights advocacy</w:t>
      </w:r>
      <w:r w:rsidR="00994DF8" w:rsidRPr="0012168F">
        <w:rPr>
          <w:rFonts w:ascii="Calibri" w:hAnsi="Calibri" w:cs="Calibri"/>
          <w:lang w:val="en-ZA"/>
        </w:rPr>
        <w:t>,</w:t>
      </w:r>
      <w:r w:rsidRPr="0012168F">
        <w:rPr>
          <w:rFonts w:ascii="Calibri" w:hAnsi="Calibri" w:cs="Calibri"/>
          <w:lang w:val="en-ZA"/>
        </w:rPr>
        <w:t xml:space="preserve"> to challenge systemic GBV.</w:t>
      </w:r>
    </w:p>
    <w:p w14:paraId="24734331" w14:textId="420150AE" w:rsidR="00DA0356" w:rsidRPr="0012168F" w:rsidRDefault="1A33EFC9" w:rsidP="5FB52863">
      <w:pPr>
        <w:jc w:val="both"/>
        <w:rPr>
          <w:rFonts w:ascii="Calibri" w:hAnsi="Calibri" w:cs="Calibri"/>
          <w:lang w:val="en-ZA"/>
        </w:rPr>
      </w:pPr>
      <w:r w:rsidRPr="5FB52863">
        <w:rPr>
          <w:rFonts w:ascii="Calibri" w:hAnsi="Calibri" w:cs="Calibri"/>
          <w:lang w:val="en-ZA"/>
        </w:rPr>
        <w:t xml:space="preserve">The </w:t>
      </w:r>
      <w:r w:rsidR="00694819">
        <w:rPr>
          <w:rFonts w:ascii="Calibri" w:hAnsi="Calibri" w:cs="Calibri"/>
          <w:lang w:val="en-ZA"/>
        </w:rPr>
        <w:t>forum</w:t>
      </w:r>
      <w:r w:rsidRPr="5FB52863">
        <w:rPr>
          <w:rFonts w:ascii="Calibri" w:hAnsi="Calibri" w:cs="Calibri"/>
          <w:lang w:val="en-ZA"/>
        </w:rPr>
        <w:t xml:space="preserve"> will advocate for policies that ensure girls remain in school through secondary education and that young women have access to quality higher education or vocational training. Educating </w:t>
      </w:r>
      <w:r w:rsidR="4BD76E6E" w:rsidRPr="5FB52863">
        <w:rPr>
          <w:rFonts w:ascii="Calibri" w:hAnsi="Calibri" w:cs="Calibri"/>
          <w:lang w:val="en-ZA"/>
        </w:rPr>
        <w:t>girls builds</w:t>
      </w:r>
      <w:r w:rsidR="0BE2324B" w:rsidRPr="5FB52863">
        <w:rPr>
          <w:rFonts w:ascii="Calibri" w:hAnsi="Calibri" w:cs="Calibri"/>
          <w:lang w:val="en-ZA"/>
        </w:rPr>
        <w:t xml:space="preserve"> empowered women</w:t>
      </w:r>
      <w:r w:rsidRPr="5FB52863">
        <w:rPr>
          <w:rFonts w:ascii="Calibri" w:hAnsi="Calibri" w:cs="Calibri"/>
          <w:lang w:val="en-ZA"/>
        </w:rPr>
        <w:t xml:space="preserve"> </w:t>
      </w:r>
      <w:r w:rsidR="0BE2324B" w:rsidRPr="5FB52863">
        <w:rPr>
          <w:rFonts w:ascii="Calibri" w:hAnsi="Calibri" w:cs="Calibri"/>
          <w:lang w:val="en-ZA"/>
        </w:rPr>
        <w:t>helps reduce</w:t>
      </w:r>
      <w:r w:rsidRPr="5FB52863">
        <w:rPr>
          <w:rFonts w:ascii="Calibri" w:hAnsi="Calibri" w:cs="Calibri"/>
          <w:lang w:val="en-ZA"/>
        </w:rPr>
        <w:t xml:space="preserve"> the risk of domestic violence, and increases their economic independence, directly </w:t>
      </w:r>
      <w:r w:rsidR="4BD76E6E" w:rsidRPr="5FB52863">
        <w:rPr>
          <w:rFonts w:ascii="Calibri" w:hAnsi="Calibri" w:cs="Calibri"/>
          <w:lang w:val="en-ZA"/>
        </w:rPr>
        <w:t xml:space="preserve">increasing their </w:t>
      </w:r>
      <w:r w:rsidR="0BE2324B" w:rsidRPr="5FB52863">
        <w:rPr>
          <w:rFonts w:ascii="Calibri" w:hAnsi="Calibri" w:cs="Calibri"/>
          <w:lang w:val="en-ZA"/>
        </w:rPr>
        <w:t xml:space="preserve">capacity </w:t>
      </w:r>
      <w:r w:rsidRPr="5FB52863">
        <w:rPr>
          <w:rFonts w:ascii="Calibri" w:hAnsi="Calibri" w:cs="Calibri"/>
          <w:lang w:val="en-ZA"/>
        </w:rPr>
        <w:t xml:space="preserve">to break cycles of </w:t>
      </w:r>
      <w:r w:rsidR="0BE2324B" w:rsidRPr="5FB52863">
        <w:rPr>
          <w:rFonts w:ascii="Calibri" w:hAnsi="Calibri" w:cs="Calibri"/>
          <w:lang w:val="en-ZA"/>
        </w:rPr>
        <w:t>violence</w:t>
      </w:r>
      <w:r w:rsidRPr="5FB52863">
        <w:rPr>
          <w:rFonts w:ascii="Calibri" w:hAnsi="Calibri" w:cs="Calibri"/>
          <w:lang w:val="en-ZA"/>
        </w:rPr>
        <w:t>.</w:t>
      </w:r>
    </w:p>
    <w:p w14:paraId="299FB58C" w14:textId="4A0E87B7" w:rsidR="00DA0356" w:rsidRPr="0012168F" w:rsidRDefault="00694819" w:rsidP="00F95341">
      <w:pPr>
        <w:spacing w:before="240" w:after="240"/>
        <w:jc w:val="both"/>
        <w:rPr>
          <w:rFonts w:ascii="Calibri" w:eastAsia="Calibri" w:hAnsi="Calibri" w:cs="Calibri"/>
          <w:lang w:val="en-ZA"/>
        </w:rPr>
      </w:pPr>
      <w:r>
        <w:rPr>
          <w:rFonts w:ascii="Calibri" w:eastAsia="Calibri" w:hAnsi="Calibri" w:cs="Calibri"/>
          <w:lang w:val="en-ZA"/>
        </w:rPr>
        <w:lastRenderedPageBreak/>
        <w:t>GBV</w:t>
      </w:r>
      <w:r w:rsidR="113D091F" w:rsidRPr="5FB52863">
        <w:rPr>
          <w:rFonts w:ascii="Calibri" w:eastAsia="Calibri" w:hAnsi="Calibri" w:cs="Calibri"/>
          <w:lang w:val="en-ZA"/>
        </w:rPr>
        <w:t xml:space="preserve"> also remains a persistent and under-reported challenge in tertiary institutions across Southern Africa. Research and reports highlight that young women in universities and colleges are especially vulnerable to sexual harassment, coercion, assault, and other forms of GBV, often perpetrated by peers, faculty, or staff. Cultural norms, institutional inaction, victim-blaming, and lack of safe reporting mechanisms exacerbate the problem, resulting in cycles of trauma, academic disruption, and inequality.</w:t>
      </w:r>
      <w:r w:rsidR="4E0CBCB9" w:rsidRPr="5FB52863">
        <w:rPr>
          <w:rFonts w:ascii="Calibri" w:eastAsia="Calibri" w:hAnsi="Calibri" w:cs="Calibri"/>
          <w:lang w:val="en-ZA"/>
        </w:rPr>
        <w:t xml:space="preserve"> The GBV</w:t>
      </w:r>
      <w:r>
        <w:rPr>
          <w:rFonts w:ascii="Calibri" w:eastAsia="Calibri" w:hAnsi="Calibri" w:cs="Calibri"/>
          <w:lang w:val="en-ZA"/>
        </w:rPr>
        <w:t xml:space="preserve"> Prevention</w:t>
      </w:r>
      <w:r w:rsidR="4E0CBCB9" w:rsidRPr="5FB52863">
        <w:rPr>
          <w:rFonts w:ascii="Calibri" w:eastAsia="Calibri" w:hAnsi="Calibri" w:cs="Calibri"/>
          <w:lang w:val="en-ZA"/>
        </w:rPr>
        <w:t xml:space="preserve"> Forum will dedicate a session led by young women from tertiary institutions to d</w:t>
      </w:r>
      <w:r w:rsidR="5213F399" w:rsidRPr="5FB52863">
        <w:rPr>
          <w:rFonts w:ascii="Calibri" w:eastAsia="Calibri" w:hAnsi="Calibri" w:cs="Calibri"/>
          <w:lang w:val="en-ZA"/>
        </w:rPr>
        <w:t xml:space="preserve">eepen the conversations and identify concrete advocacy actions against GBV in institutions of learning. The </w:t>
      </w:r>
      <w:r w:rsidR="00573830">
        <w:rPr>
          <w:rFonts w:ascii="Calibri" w:eastAsia="Calibri" w:hAnsi="Calibri" w:cs="Calibri"/>
          <w:lang w:val="en-ZA"/>
        </w:rPr>
        <w:t>forum</w:t>
      </w:r>
      <w:r w:rsidR="19672877" w:rsidRPr="5FB52863">
        <w:rPr>
          <w:rFonts w:ascii="Calibri" w:eastAsia="Calibri" w:hAnsi="Calibri" w:cs="Calibri"/>
          <w:lang w:val="en-ZA"/>
        </w:rPr>
        <w:t xml:space="preserve"> will leverage on on-going research and sharing of experiences by </w:t>
      </w:r>
      <w:r w:rsidR="4DA31A23" w:rsidRPr="5FB52863">
        <w:rPr>
          <w:rFonts w:ascii="Calibri" w:eastAsia="Calibri" w:hAnsi="Calibri" w:cs="Calibri"/>
          <w:lang w:val="en-ZA"/>
        </w:rPr>
        <w:t xml:space="preserve">members of the </w:t>
      </w:r>
      <w:r w:rsidR="32623B7E" w:rsidRPr="5FB52863">
        <w:rPr>
          <w:rFonts w:ascii="Calibri" w:eastAsia="Calibri" w:hAnsi="Calibri" w:cs="Calibri"/>
          <w:lang w:val="en-ZA"/>
        </w:rPr>
        <w:t xml:space="preserve">Regional </w:t>
      </w:r>
      <w:r w:rsidR="4DA31A23" w:rsidRPr="5FB52863">
        <w:rPr>
          <w:rFonts w:ascii="Calibri" w:eastAsia="Calibri" w:hAnsi="Calibri" w:cs="Calibri"/>
          <w:lang w:val="en-ZA"/>
        </w:rPr>
        <w:t xml:space="preserve">Network of Young Women </w:t>
      </w:r>
      <w:r w:rsidR="32BA6F7B" w:rsidRPr="5FB52863">
        <w:rPr>
          <w:rFonts w:ascii="Calibri" w:eastAsia="Calibri" w:hAnsi="Calibri" w:cs="Calibri"/>
          <w:lang w:val="en-ZA"/>
        </w:rPr>
        <w:t>in Tertiary Institutions established by the Southern Africa Tru</w:t>
      </w:r>
      <w:r w:rsidR="1B54B8FA" w:rsidRPr="5FB52863">
        <w:rPr>
          <w:rFonts w:ascii="Calibri" w:eastAsia="Calibri" w:hAnsi="Calibri" w:cs="Calibri"/>
          <w:lang w:val="en-ZA"/>
        </w:rPr>
        <w:t>s</w:t>
      </w:r>
      <w:r w:rsidR="32BA6F7B" w:rsidRPr="5FB52863">
        <w:rPr>
          <w:rFonts w:ascii="Calibri" w:eastAsia="Calibri" w:hAnsi="Calibri" w:cs="Calibri"/>
          <w:lang w:val="en-ZA"/>
        </w:rPr>
        <w:t xml:space="preserve">t in 2024. </w:t>
      </w:r>
    </w:p>
    <w:p w14:paraId="7E791E36" w14:textId="17EA443B" w:rsidR="00DA0356" w:rsidRPr="0012168F" w:rsidRDefault="1A33EFC9" w:rsidP="00DA0356">
      <w:pPr>
        <w:jc w:val="both"/>
        <w:rPr>
          <w:rFonts w:ascii="Calibri" w:hAnsi="Calibri" w:cs="Calibri"/>
          <w:lang w:val="en-ZA"/>
        </w:rPr>
      </w:pPr>
      <w:r w:rsidRPr="5FB52863">
        <w:rPr>
          <w:rFonts w:ascii="Calibri" w:hAnsi="Calibri" w:cs="Calibri"/>
          <w:lang w:val="en-ZA"/>
        </w:rPr>
        <w:t xml:space="preserve"> Employers and businesses should play a role in supporting women’s economic empowerment</w:t>
      </w:r>
      <w:r w:rsidR="0BE2324B" w:rsidRPr="5FB52863">
        <w:rPr>
          <w:rFonts w:ascii="Calibri" w:hAnsi="Calibri" w:cs="Calibri"/>
          <w:lang w:val="en-ZA"/>
        </w:rPr>
        <w:t>;</w:t>
      </w:r>
      <w:r w:rsidRPr="5FB52863">
        <w:rPr>
          <w:rFonts w:ascii="Calibri" w:hAnsi="Calibri" w:cs="Calibri"/>
          <w:lang w:val="en-ZA"/>
        </w:rPr>
        <w:t xml:space="preserve"> </w:t>
      </w:r>
      <w:r w:rsidR="0BE2324B" w:rsidRPr="5FB52863">
        <w:rPr>
          <w:rFonts w:ascii="Calibri" w:hAnsi="Calibri" w:cs="Calibri"/>
          <w:lang w:val="en-ZA"/>
        </w:rPr>
        <w:t>t</w:t>
      </w:r>
      <w:r w:rsidRPr="5FB52863">
        <w:rPr>
          <w:rFonts w:ascii="Calibri" w:hAnsi="Calibri" w:cs="Calibri"/>
          <w:lang w:val="en-ZA"/>
        </w:rPr>
        <w:t>his can include initiatives like gender-responsive corporate policies, equal pay for equal work,</w:t>
      </w:r>
      <w:r w:rsidR="0BE2324B" w:rsidRPr="5FB52863">
        <w:rPr>
          <w:rFonts w:ascii="Calibri" w:hAnsi="Calibri" w:cs="Calibri"/>
          <w:lang w:val="en-ZA"/>
        </w:rPr>
        <w:t xml:space="preserve"> </w:t>
      </w:r>
      <w:r w:rsidRPr="5FB52863">
        <w:rPr>
          <w:rFonts w:ascii="Calibri" w:hAnsi="Calibri" w:cs="Calibri"/>
          <w:lang w:val="en-ZA"/>
        </w:rPr>
        <w:t>and company-supported programs to aid victims of GBV in the workplace</w:t>
      </w:r>
      <w:r w:rsidR="3869FB40" w:rsidRPr="5FB52863">
        <w:rPr>
          <w:rFonts w:ascii="Calibri" w:hAnsi="Calibri" w:cs="Calibri"/>
          <w:lang w:val="en-ZA"/>
        </w:rPr>
        <w:t>, In Zambia it was mentioned that other forms of support beyond financial support is important, such as menstrual leave</w:t>
      </w:r>
      <w:r w:rsidRPr="5FB52863">
        <w:rPr>
          <w:rFonts w:ascii="Calibri" w:hAnsi="Calibri" w:cs="Calibri"/>
          <w:lang w:val="en-ZA"/>
        </w:rPr>
        <w:t xml:space="preserve">. </w:t>
      </w:r>
      <w:r w:rsidR="0BE2324B" w:rsidRPr="5FB52863">
        <w:rPr>
          <w:rFonts w:ascii="Calibri" w:hAnsi="Calibri" w:cs="Calibri"/>
          <w:lang w:val="en-ZA"/>
        </w:rPr>
        <w:t>In addition, t</w:t>
      </w:r>
      <w:r w:rsidRPr="5FB52863">
        <w:rPr>
          <w:rFonts w:ascii="Calibri" w:hAnsi="Calibri" w:cs="Calibri"/>
          <w:lang w:val="en-ZA"/>
        </w:rPr>
        <w:t xml:space="preserve">he </w:t>
      </w:r>
      <w:r w:rsidR="00573830">
        <w:rPr>
          <w:rFonts w:ascii="Calibri" w:hAnsi="Calibri" w:cs="Calibri"/>
          <w:lang w:val="en-ZA"/>
        </w:rPr>
        <w:t>forum</w:t>
      </w:r>
      <w:r w:rsidRPr="5FB52863">
        <w:rPr>
          <w:rFonts w:ascii="Calibri" w:hAnsi="Calibri" w:cs="Calibri"/>
          <w:lang w:val="en-ZA"/>
        </w:rPr>
        <w:t xml:space="preserve"> will explore ways to engage businesses in these efforts, including public-private partnerships.</w:t>
      </w:r>
    </w:p>
    <w:p w14:paraId="07890CBC" w14:textId="2F5D8B43" w:rsidR="00DA0356" w:rsidRPr="0012168F" w:rsidRDefault="00DA0356" w:rsidP="00DA0356">
      <w:pPr>
        <w:jc w:val="both"/>
        <w:rPr>
          <w:rFonts w:ascii="Calibri" w:hAnsi="Calibri" w:cs="Calibri"/>
          <w:lang w:val="en-ZA"/>
        </w:rPr>
      </w:pPr>
      <w:r w:rsidRPr="0012168F">
        <w:rPr>
          <w:rFonts w:ascii="Calibri" w:hAnsi="Calibri" w:cs="Calibri"/>
          <w:lang w:val="en-ZA"/>
        </w:rPr>
        <w:t>Schools are critical environments for teaching respect, equality, and non-violence. Curriculum reforms that address toxic masculinity, healthy relationships, and consent education are vital for long-term change</w:t>
      </w:r>
      <w:r w:rsidR="005760A5">
        <w:rPr>
          <w:rFonts w:ascii="Calibri" w:hAnsi="Calibri" w:cs="Calibri"/>
          <w:lang w:val="en-ZA"/>
        </w:rPr>
        <w:t xml:space="preserve">, especially given the </w:t>
      </w:r>
      <w:r w:rsidR="00E53E28">
        <w:rPr>
          <w:rFonts w:ascii="Calibri" w:hAnsi="Calibri" w:cs="Calibri"/>
          <w:lang w:val="en-ZA"/>
        </w:rPr>
        <w:t>rise in sexual assaults in schools.</w:t>
      </w:r>
      <w:r w:rsidR="0088770A">
        <w:rPr>
          <w:rFonts w:ascii="Calibri" w:hAnsi="Calibri" w:cs="Calibri"/>
          <w:lang w:val="en-ZA"/>
        </w:rPr>
        <w:t xml:space="preserve"> </w:t>
      </w:r>
      <w:r w:rsidRPr="0012168F">
        <w:rPr>
          <w:rFonts w:ascii="Calibri" w:hAnsi="Calibri" w:cs="Calibri"/>
          <w:lang w:val="en-ZA"/>
        </w:rPr>
        <w:t xml:space="preserve">The </w:t>
      </w:r>
      <w:r w:rsidR="002E4AEC">
        <w:rPr>
          <w:rFonts w:ascii="Calibri" w:hAnsi="Calibri" w:cs="Calibri"/>
          <w:lang w:val="en-ZA"/>
        </w:rPr>
        <w:t>forum</w:t>
      </w:r>
      <w:r w:rsidRPr="0012168F">
        <w:rPr>
          <w:rFonts w:ascii="Calibri" w:hAnsi="Calibri" w:cs="Calibri"/>
          <w:lang w:val="en-ZA"/>
        </w:rPr>
        <w:t xml:space="preserve"> will discuss how education ministries and local authorities can integrate GBV awareness into school curricula using age-appropriate materials and peer-led programs.</w:t>
      </w:r>
      <w:r w:rsidR="0088770A">
        <w:rPr>
          <w:rFonts w:ascii="Calibri" w:hAnsi="Calibri" w:cs="Calibri"/>
          <w:lang w:val="en-ZA"/>
        </w:rPr>
        <w:t xml:space="preserve"> </w:t>
      </w:r>
    </w:p>
    <w:p w14:paraId="2FBA3960" w14:textId="4F3986BC" w:rsidR="00DA0356" w:rsidRPr="0012168F" w:rsidRDefault="00DA0356" w:rsidP="00DA0356">
      <w:pPr>
        <w:jc w:val="both"/>
        <w:rPr>
          <w:rFonts w:ascii="Calibri" w:hAnsi="Calibri" w:cs="Calibri"/>
          <w:lang w:val="en-ZA"/>
        </w:rPr>
      </w:pPr>
      <w:r w:rsidRPr="0012168F">
        <w:rPr>
          <w:rFonts w:ascii="Calibri" w:hAnsi="Calibri" w:cs="Calibri"/>
          <w:lang w:val="en-ZA"/>
        </w:rPr>
        <w:t xml:space="preserve">Given the cross-border nature of many challenges in Southern Africa, particularly related to migration and trafficking, regional cooperation is key. GBV issues often transcend national borders, especially with human trafficking, child marriages, and domestic violence affecting migrant communities. Collaborative frameworks between Southern African countries can help create unified strategies, such as shared legal frameworks, cross-border law enforcement training, and regional victim support networks. Many local CSOs take responsibility for GBV prevention but lack the resources and training to maximize their impact. The </w:t>
      </w:r>
      <w:r w:rsidR="00CD2405">
        <w:rPr>
          <w:rFonts w:ascii="Calibri" w:hAnsi="Calibri" w:cs="Calibri"/>
          <w:lang w:val="en-ZA"/>
        </w:rPr>
        <w:t>forum will focus</w:t>
      </w:r>
      <w:r w:rsidRPr="0012168F">
        <w:rPr>
          <w:rFonts w:ascii="Calibri" w:hAnsi="Calibri" w:cs="Calibri"/>
          <w:lang w:val="en-ZA"/>
        </w:rPr>
        <w:t xml:space="preserve"> on how to scale up interventions, enhance their advocacy, and secure sustainable funding for long-term projects.</w:t>
      </w:r>
    </w:p>
    <w:p w14:paraId="11A39750" w14:textId="7D75EE42" w:rsidR="006F0DCA" w:rsidRPr="0012168F" w:rsidRDefault="00DA0356" w:rsidP="00DA0356">
      <w:pPr>
        <w:jc w:val="both"/>
        <w:rPr>
          <w:rFonts w:ascii="Calibri" w:hAnsi="Calibri" w:cs="Calibri"/>
          <w:lang w:val="en-ZA"/>
        </w:rPr>
      </w:pPr>
      <w:r w:rsidRPr="0012168F">
        <w:rPr>
          <w:rFonts w:ascii="Calibri" w:hAnsi="Calibri" w:cs="Calibri"/>
          <w:lang w:val="en-ZA"/>
        </w:rPr>
        <w:t xml:space="preserve">International donors, governments, and institutions like the UN have supported GBV prevention in Southern Africa. Strengthening these partnerships and coordinating funding opportunities will help ensure that regional efforts are well-resourced and impactful. The </w:t>
      </w:r>
      <w:r w:rsidR="00834BC7">
        <w:rPr>
          <w:rFonts w:ascii="Calibri" w:hAnsi="Calibri" w:cs="Calibri"/>
          <w:lang w:val="en-ZA"/>
        </w:rPr>
        <w:t>forum</w:t>
      </w:r>
      <w:r w:rsidRPr="0012168F">
        <w:rPr>
          <w:rFonts w:ascii="Calibri" w:hAnsi="Calibri" w:cs="Calibri"/>
          <w:lang w:val="en-ZA"/>
        </w:rPr>
        <w:t xml:space="preserve"> will explore how to expand these partnerships, including with international feminist movements and global human rights organizations.</w:t>
      </w:r>
    </w:p>
    <w:p w14:paraId="74909FF3" w14:textId="0182E3C2" w:rsidR="003C4A9F" w:rsidRDefault="00994DF8" w:rsidP="00EC1786">
      <w:pPr>
        <w:jc w:val="both"/>
        <w:rPr>
          <w:rFonts w:ascii="Calibri" w:hAnsi="Calibri" w:cs="Calibri"/>
          <w:lang w:val="en-ZA"/>
        </w:rPr>
      </w:pPr>
      <w:r w:rsidRPr="0012168F">
        <w:rPr>
          <w:rFonts w:ascii="Calibri" w:hAnsi="Calibri" w:cs="Calibri"/>
          <w:lang w:val="en-ZA"/>
        </w:rPr>
        <w:t xml:space="preserve">The </w:t>
      </w:r>
      <w:r w:rsidR="00834BC7">
        <w:rPr>
          <w:rFonts w:ascii="Calibri" w:hAnsi="Calibri" w:cs="Calibri"/>
          <w:lang w:val="en-ZA"/>
        </w:rPr>
        <w:t xml:space="preserve">2024 </w:t>
      </w:r>
      <w:r w:rsidR="00BF1893">
        <w:rPr>
          <w:rFonts w:ascii="Calibri" w:hAnsi="Calibri" w:cs="Calibri"/>
          <w:lang w:val="en-ZA"/>
        </w:rPr>
        <w:t>gathering</w:t>
      </w:r>
      <w:r w:rsidRPr="0012168F">
        <w:rPr>
          <w:rFonts w:ascii="Calibri" w:hAnsi="Calibri" w:cs="Calibri"/>
          <w:lang w:val="en-ZA"/>
        </w:rPr>
        <w:t xml:space="preserve"> underscored the importance of involving men in GBV prevention. Many men are not aware of how they perpetuate violence or feel excluded from the discussion. The </w:t>
      </w:r>
      <w:r w:rsidR="00BF1893">
        <w:rPr>
          <w:rFonts w:ascii="Calibri" w:hAnsi="Calibri" w:cs="Calibri"/>
          <w:lang w:val="en-ZA"/>
        </w:rPr>
        <w:t xml:space="preserve">forum </w:t>
      </w:r>
      <w:r w:rsidRPr="0012168F">
        <w:rPr>
          <w:rFonts w:ascii="Calibri" w:hAnsi="Calibri" w:cs="Calibri"/>
          <w:lang w:val="en-ZA"/>
        </w:rPr>
        <w:t xml:space="preserve">will focus on dismantling harmful notions of masculinity and promoting respect for women’s rights by fostering spaces for men to discuss their roles. </w:t>
      </w:r>
    </w:p>
    <w:p w14:paraId="56E02233" w14:textId="6D9EF0E9" w:rsidR="006F0DCA" w:rsidRPr="0012168F" w:rsidRDefault="006F0DCA" w:rsidP="00EC1786">
      <w:pPr>
        <w:jc w:val="both"/>
        <w:rPr>
          <w:rFonts w:ascii="Calibri" w:hAnsi="Calibri" w:cs="Calibri"/>
          <w:lang w:val="en-ZA"/>
        </w:rPr>
      </w:pPr>
      <w:r>
        <w:rPr>
          <w:rFonts w:ascii="Calibri" w:hAnsi="Calibri" w:cs="Calibri"/>
          <w:lang w:val="en-ZA"/>
        </w:rPr>
        <w:t>T</w:t>
      </w:r>
      <w:r w:rsidRPr="00955B1C">
        <w:rPr>
          <w:rFonts w:cstheme="minorHAnsi"/>
        </w:rPr>
        <w:t>he rapid increase in internet and mobile phone usage has led to a corresponding rise in technology-facilitated gender-based violence (T</w:t>
      </w:r>
      <w:r>
        <w:rPr>
          <w:rFonts w:cstheme="minorHAnsi"/>
        </w:rPr>
        <w:t>F</w:t>
      </w:r>
      <w:r w:rsidRPr="00955B1C">
        <w:rPr>
          <w:rFonts w:cstheme="minorHAnsi"/>
        </w:rPr>
        <w:t>-GBV).  Online GBV is constantly evolving, and emerging threats from technologies like stalker</w:t>
      </w:r>
      <w:r w:rsidR="00BF1893">
        <w:rPr>
          <w:rFonts w:cstheme="minorHAnsi"/>
        </w:rPr>
        <w:t xml:space="preserve"> </w:t>
      </w:r>
      <w:r w:rsidRPr="00955B1C">
        <w:rPr>
          <w:rFonts w:cstheme="minorHAnsi"/>
        </w:rPr>
        <w:t xml:space="preserve">ware and extremist misogynistic discourse </w:t>
      </w:r>
      <w:r>
        <w:rPr>
          <w:rFonts w:cstheme="minorHAnsi"/>
        </w:rPr>
        <w:t>aid</w:t>
      </w:r>
      <w:r w:rsidRPr="00955B1C">
        <w:rPr>
          <w:rFonts w:cstheme="minorHAnsi"/>
        </w:rPr>
        <w:t xml:space="preserve"> </w:t>
      </w:r>
      <w:r w:rsidRPr="00955B1C">
        <w:rPr>
          <w:rFonts w:cstheme="minorHAnsi"/>
        </w:rPr>
        <w:lastRenderedPageBreak/>
        <w:t xml:space="preserve">the </w:t>
      </w:r>
      <w:r w:rsidR="00BF1893">
        <w:rPr>
          <w:rFonts w:cstheme="minorHAnsi"/>
        </w:rPr>
        <w:t>violence.</w:t>
      </w:r>
      <w:r w:rsidRPr="00955B1C">
        <w:rPr>
          <w:rStyle w:val="FootnoteReference"/>
          <w:rFonts w:cstheme="minorHAnsi"/>
        </w:rPr>
        <w:footnoteReference w:id="1"/>
      </w:r>
      <w:r w:rsidR="4C5EB4D6" w:rsidRPr="7A440E7D">
        <w:rPr>
          <w:rStyle w:val="FootnoteReference"/>
        </w:rPr>
        <w:t xml:space="preserve"> </w:t>
      </w:r>
      <w:r w:rsidRPr="00955B1C">
        <w:rPr>
          <w:rFonts w:cstheme="minorHAnsi"/>
        </w:rPr>
        <w:t xml:space="preserve"> </w:t>
      </w:r>
      <w:r>
        <w:rPr>
          <w:rFonts w:cstheme="minorHAnsi"/>
        </w:rPr>
        <w:t xml:space="preserve"> </w:t>
      </w:r>
      <w:r w:rsidRPr="00955B1C">
        <w:rPr>
          <w:rFonts w:cstheme="minorHAnsi"/>
        </w:rPr>
        <w:t>Intricate power dynamics underpin T</w:t>
      </w:r>
      <w:r>
        <w:rPr>
          <w:rFonts w:cstheme="minorHAnsi"/>
        </w:rPr>
        <w:t>F</w:t>
      </w:r>
      <w:r w:rsidRPr="00955B1C">
        <w:rPr>
          <w:rFonts w:cstheme="minorHAnsi"/>
        </w:rPr>
        <w:t xml:space="preserve">-GBV, including economic models of social media platforms, limited government intervention and technological </w:t>
      </w:r>
      <w:r w:rsidR="00734E9E" w:rsidRPr="00955B1C">
        <w:rPr>
          <w:rFonts w:cstheme="minorHAnsi"/>
        </w:rPr>
        <w:t>architecture</w:t>
      </w:r>
      <w:r w:rsidRPr="00955B1C">
        <w:rPr>
          <w:rFonts w:cstheme="minorHAnsi"/>
        </w:rPr>
        <w:t xml:space="preserve"> that enable hate speech.  Technology plays a significant role in facilitating violence</w:t>
      </w:r>
      <w:r w:rsidR="00734E9E">
        <w:rPr>
          <w:rFonts w:cstheme="minorHAnsi"/>
        </w:rPr>
        <w:t>,</w:t>
      </w:r>
      <w:r>
        <w:rPr>
          <w:rFonts w:cstheme="minorHAnsi"/>
        </w:rPr>
        <w:t xml:space="preserve"> and the </w:t>
      </w:r>
      <w:r w:rsidR="00F20E22">
        <w:rPr>
          <w:rFonts w:cstheme="minorHAnsi"/>
        </w:rPr>
        <w:t>forum</w:t>
      </w:r>
      <w:r>
        <w:rPr>
          <w:rFonts w:cstheme="minorHAnsi"/>
        </w:rPr>
        <w:t xml:space="preserve"> will focus on how this can be addressed. </w:t>
      </w:r>
    </w:p>
    <w:p w14:paraId="2CCFB947" w14:textId="51F8C512" w:rsidR="00981F6F" w:rsidRPr="0012168F" w:rsidRDefault="00981F6F" w:rsidP="00EC1786">
      <w:pPr>
        <w:jc w:val="both"/>
        <w:rPr>
          <w:rFonts w:ascii="Calibri" w:hAnsi="Calibri" w:cs="Calibri"/>
          <w:b/>
          <w:bCs/>
          <w:lang w:val="en-ZA"/>
        </w:rPr>
      </w:pPr>
      <w:r w:rsidRPr="0012168F">
        <w:rPr>
          <w:rFonts w:ascii="Calibri" w:hAnsi="Calibri" w:cs="Calibri"/>
          <w:b/>
          <w:bCs/>
          <w:lang w:val="en-ZA"/>
        </w:rPr>
        <w:t>Objectives</w:t>
      </w:r>
    </w:p>
    <w:p w14:paraId="3803ABBD" w14:textId="2F344E7C" w:rsidR="00981F6F" w:rsidRPr="0012168F" w:rsidRDefault="00981F6F" w:rsidP="00EC1786">
      <w:pPr>
        <w:jc w:val="both"/>
        <w:rPr>
          <w:rFonts w:ascii="Calibri" w:hAnsi="Calibri" w:cs="Calibri"/>
          <w:lang w:val="en-ZA"/>
        </w:rPr>
      </w:pPr>
      <w:r w:rsidRPr="0012168F">
        <w:rPr>
          <w:rFonts w:ascii="Calibri" w:hAnsi="Calibri" w:cs="Calibri"/>
          <w:lang w:val="en-ZA"/>
        </w:rPr>
        <w:t>Th</w:t>
      </w:r>
      <w:r w:rsidR="007C4ED2" w:rsidRPr="0012168F">
        <w:rPr>
          <w:rFonts w:ascii="Calibri" w:hAnsi="Calibri" w:cs="Calibri"/>
          <w:lang w:val="en-ZA"/>
        </w:rPr>
        <w:t xml:space="preserve">e </w:t>
      </w:r>
      <w:r w:rsidR="00F20E22">
        <w:rPr>
          <w:rFonts w:ascii="Calibri" w:hAnsi="Calibri" w:cs="Calibri"/>
          <w:lang w:val="en-ZA"/>
        </w:rPr>
        <w:t>forum</w:t>
      </w:r>
      <w:r w:rsidR="00E34AEB" w:rsidRPr="0012168F">
        <w:rPr>
          <w:rFonts w:ascii="Calibri" w:hAnsi="Calibri" w:cs="Calibri"/>
          <w:lang w:val="en-ZA"/>
        </w:rPr>
        <w:t xml:space="preserve"> </w:t>
      </w:r>
      <w:r w:rsidRPr="0012168F">
        <w:rPr>
          <w:rFonts w:ascii="Calibri" w:hAnsi="Calibri" w:cs="Calibri"/>
          <w:lang w:val="en-ZA"/>
        </w:rPr>
        <w:t xml:space="preserve">seeks to deepen the discourse on multi-faceted and integrated approaches to address GBV, drawing from the themes of prevention, legal reform, community engagement, and the role of men in the solution. The objectives of the </w:t>
      </w:r>
      <w:r w:rsidR="00F20E22">
        <w:rPr>
          <w:rFonts w:ascii="Calibri" w:hAnsi="Calibri" w:cs="Calibri"/>
          <w:lang w:val="en-ZA"/>
        </w:rPr>
        <w:t>forum</w:t>
      </w:r>
      <w:r w:rsidRPr="0012168F">
        <w:rPr>
          <w:rFonts w:ascii="Calibri" w:hAnsi="Calibri" w:cs="Calibri"/>
          <w:lang w:val="en-ZA"/>
        </w:rPr>
        <w:t xml:space="preserve"> include:</w:t>
      </w:r>
    </w:p>
    <w:p w14:paraId="7FE04E6B" w14:textId="70A1D5E3" w:rsidR="00981F6F" w:rsidRPr="0012168F" w:rsidRDefault="00981F6F" w:rsidP="00EC1786">
      <w:pPr>
        <w:pStyle w:val="ListParagraph"/>
        <w:numPr>
          <w:ilvl w:val="0"/>
          <w:numId w:val="2"/>
        </w:numPr>
        <w:jc w:val="both"/>
        <w:rPr>
          <w:rFonts w:ascii="Calibri" w:hAnsi="Calibri" w:cs="Calibri"/>
          <w:lang w:val="en-ZA"/>
        </w:rPr>
      </w:pPr>
      <w:r w:rsidRPr="0012168F">
        <w:rPr>
          <w:rFonts w:ascii="Calibri" w:hAnsi="Calibri" w:cs="Calibri"/>
          <w:lang w:val="en-ZA"/>
        </w:rPr>
        <w:t>Exploring cross-sectoral strategies for GBV prevention.</w:t>
      </w:r>
    </w:p>
    <w:p w14:paraId="5B2D5A20" w14:textId="4C69C6BF" w:rsidR="00981F6F" w:rsidRPr="0012168F" w:rsidRDefault="00981F6F" w:rsidP="00EC1786">
      <w:pPr>
        <w:pStyle w:val="ListParagraph"/>
        <w:numPr>
          <w:ilvl w:val="0"/>
          <w:numId w:val="2"/>
        </w:numPr>
        <w:jc w:val="both"/>
        <w:rPr>
          <w:rFonts w:ascii="Calibri" w:hAnsi="Calibri" w:cs="Calibri"/>
          <w:lang w:val="en-ZA"/>
        </w:rPr>
      </w:pPr>
      <w:r w:rsidRPr="0012168F">
        <w:rPr>
          <w:rFonts w:ascii="Calibri" w:hAnsi="Calibri" w:cs="Calibri"/>
          <w:lang w:val="en-ZA"/>
        </w:rPr>
        <w:t>Promoting collaboration between governments, civil society, and international partners.</w:t>
      </w:r>
    </w:p>
    <w:p w14:paraId="75E7762F" w14:textId="7824D3F5" w:rsidR="00981F6F" w:rsidRPr="0012168F" w:rsidRDefault="00981F6F" w:rsidP="00EC1786">
      <w:pPr>
        <w:pStyle w:val="ListParagraph"/>
        <w:numPr>
          <w:ilvl w:val="0"/>
          <w:numId w:val="2"/>
        </w:numPr>
        <w:jc w:val="both"/>
        <w:rPr>
          <w:rFonts w:ascii="Calibri" w:hAnsi="Calibri" w:cs="Calibri"/>
          <w:lang w:val="en-ZA"/>
        </w:rPr>
      </w:pPr>
      <w:r w:rsidRPr="0012168F">
        <w:rPr>
          <w:rFonts w:ascii="Calibri" w:hAnsi="Calibri" w:cs="Calibri"/>
          <w:lang w:val="en-ZA"/>
        </w:rPr>
        <w:t>Advancing the inclusion of men and boys in GBV prevention programs.</w:t>
      </w:r>
    </w:p>
    <w:p w14:paraId="4BADCCE1" w14:textId="668B6FC2" w:rsidR="00981F6F" w:rsidRPr="0012168F" w:rsidRDefault="14ED8972" w:rsidP="00EC1786">
      <w:pPr>
        <w:pStyle w:val="ListParagraph"/>
        <w:numPr>
          <w:ilvl w:val="0"/>
          <w:numId w:val="2"/>
        </w:numPr>
        <w:jc w:val="both"/>
        <w:rPr>
          <w:rFonts w:ascii="Calibri" w:hAnsi="Calibri" w:cs="Calibri"/>
          <w:lang w:val="en-ZA"/>
        </w:rPr>
      </w:pPr>
      <w:r w:rsidRPr="259D6BA7">
        <w:rPr>
          <w:rFonts w:ascii="Calibri" w:hAnsi="Calibri" w:cs="Calibri"/>
          <w:lang w:val="en-ZA"/>
        </w:rPr>
        <w:t>Strengthening the implementation of existing legal frameworks in Southern Africa.</w:t>
      </w:r>
    </w:p>
    <w:p w14:paraId="7E591CFF" w14:textId="2A5EAC00" w:rsidR="259D6BA7" w:rsidRDefault="09504EA3" w:rsidP="259D6BA7">
      <w:pPr>
        <w:pStyle w:val="ListParagraph"/>
        <w:numPr>
          <w:ilvl w:val="0"/>
          <w:numId w:val="2"/>
        </w:numPr>
        <w:jc w:val="both"/>
        <w:rPr>
          <w:rFonts w:ascii="Calibri" w:hAnsi="Calibri" w:cs="Calibri"/>
          <w:lang w:val="en-ZA"/>
        </w:rPr>
      </w:pPr>
      <w:r w:rsidRPr="2CE16AB5">
        <w:rPr>
          <w:rFonts w:ascii="Calibri" w:hAnsi="Calibri" w:cs="Calibri"/>
          <w:lang w:val="en-ZA"/>
        </w:rPr>
        <w:t>Promote community-led, bottom-up GBV prevention strategies that build on local knowl</w:t>
      </w:r>
      <w:r w:rsidR="20F6EAA1" w:rsidRPr="2CE16AB5">
        <w:rPr>
          <w:rFonts w:ascii="Calibri" w:hAnsi="Calibri" w:cs="Calibri"/>
          <w:lang w:val="en-ZA"/>
        </w:rPr>
        <w:t xml:space="preserve">edge and context. </w:t>
      </w:r>
    </w:p>
    <w:p w14:paraId="7DFD8C91" w14:textId="40513078" w:rsidR="00981F6F" w:rsidRPr="0012168F" w:rsidRDefault="00981F6F" w:rsidP="00EC1786">
      <w:pPr>
        <w:jc w:val="both"/>
        <w:rPr>
          <w:rFonts w:ascii="Calibri" w:hAnsi="Calibri" w:cs="Calibri"/>
          <w:b/>
          <w:bCs/>
          <w:lang w:val="en-ZA"/>
        </w:rPr>
      </w:pPr>
      <w:r w:rsidRPr="0012168F">
        <w:rPr>
          <w:rFonts w:ascii="Calibri" w:hAnsi="Calibri" w:cs="Calibri"/>
          <w:b/>
          <w:bCs/>
          <w:lang w:val="en-ZA"/>
        </w:rPr>
        <w:t>Format</w:t>
      </w:r>
    </w:p>
    <w:p w14:paraId="170C6374" w14:textId="3544FB19" w:rsidR="00AF6A5F" w:rsidRPr="0012168F" w:rsidRDefault="00AF6A5F" w:rsidP="00EC1786">
      <w:pPr>
        <w:jc w:val="both"/>
        <w:rPr>
          <w:rFonts w:ascii="Calibri" w:hAnsi="Calibri" w:cs="Calibri"/>
          <w:lang w:val="en-ZA"/>
        </w:rPr>
      </w:pPr>
      <w:r w:rsidRPr="0012168F">
        <w:rPr>
          <w:rFonts w:ascii="Calibri" w:hAnsi="Calibri" w:cs="Calibri"/>
          <w:lang w:val="en-ZA"/>
        </w:rPr>
        <w:t xml:space="preserve">The </w:t>
      </w:r>
      <w:r w:rsidR="003A6D6B">
        <w:rPr>
          <w:rFonts w:ascii="Calibri" w:hAnsi="Calibri" w:cs="Calibri"/>
          <w:lang w:val="en-ZA"/>
        </w:rPr>
        <w:t>Forum</w:t>
      </w:r>
      <w:r w:rsidRPr="0012168F">
        <w:rPr>
          <w:rFonts w:ascii="Calibri" w:hAnsi="Calibri" w:cs="Calibri"/>
          <w:lang w:val="en-ZA"/>
        </w:rPr>
        <w:t xml:space="preserve"> will follow an innovative, inclusionary format </w:t>
      </w:r>
      <w:r w:rsidR="0088477B" w:rsidRPr="0012168F">
        <w:rPr>
          <w:rFonts w:ascii="Calibri" w:hAnsi="Calibri" w:cs="Calibri"/>
          <w:lang w:val="en-ZA"/>
        </w:rPr>
        <w:t>that emphasizes active participation, creative engagement, and practical skills development. This format ensures that all voices—especially those of survivors, marginalized communities, and youth—are</w:t>
      </w:r>
      <w:r w:rsidRPr="0012168F">
        <w:rPr>
          <w:rFonts w:ascii="Calibri" w:hAnsi="Calibri" w:cs="Calibri"/>
          <w:lang w:val="en-ZA"/>
        </w:rPr>
        <w:t xml:space="preserve"> heard and that tangible actions emerge from the event.</w:t>
      </w:r>
    </w:p>
    <w:p w14:paraId="42C7B1D2" w14:textId="371CE14E" w:rsidR="00F46731" w:rsidRPr="0012168F" w:rsidRDefault="00F46731" w:rsidP="00EC1786">
      <w:pPr>
        <w:jc w:val="both"/>
        <w:rPr>
          <w:rFonts w:ascii="Calibri" w:hAnsi="Calibri" w:cs="Calibri"/>
          <w:i/>
          <w:iCs/>
          <w:lang w:val="en-ZA"/>
        </w:rPr>
      </w:pPr>
      <w:r w:rsidRPr="0012168F">
        <w:rPr>
          <w:rFonts w:ascii="Calibri" w:hAnsi="Calibri" w:cs="Calibri"/>
          <w:i/>
          <w:iCs/>
          <w:lang w:val="en-ZA"/>
        </w:rPr>
        <w:t>Hybrid Structure for Broader Participation</w:t>
      </w:r>
    </w:p>
    <w:p w14:paraId="2C152D6C" w14:textId="6D9E09A6" w:rsidR="00F46731" w:rsidRPr="0012168F" w:rsidRDefault="00F46731" w:rsidP="00EC1786">
      <w:pPr>
        <w:jc w:val="both"/>
        <w:rPr>
          <w:rFonts w:ascii="Calibri" w:hAnsi="Calibri" w:cs="Calibri"/>
          <w:lang w:val="en-ZA"/>
        </w:rPr>
      </w:pPr>
      <w:r w:rsidRPr="0012168F">
        <w:rPr>
          <w:rFonts w:ascii="Calibri" w:hAnsi="Calibri" w:cs="Calibri"/>
          <w:lang w:val="en-ZA"/>
        </w:rPr>
        <w:t xml:space="preserve">To maximize accessibility and reach, the </w:t>
      </w:r>
      <w:r w:rsidR="003A6D6B">
        <w:rPr>
          <w:rFonts w:ascii="Calibri" w:hAnsi="Calibri" w:cs="Calibri"/>
          <w:lang w:val="en-ZA"/>
        </w:rPr>
        <w:t>forum</w:t>
      </w:r>
      <w:r w:rsidRPr="0012168F">
        <w:rPr>
          <w:rFonts w:ascii="Calibri" w:hAnsi="Calibri" w:cs="Calibri"/>
          <w:lang w:val="en-ZA"/>
        </w:rPr>
        <w:t xml:space="preserve"> will be a hybrid event, combining in-person</w:t>
      </w:r>
      <w:r w:rsidR="00B50D83" w:rsidRPr="0012168F">
        <w:rPr>
          <w:rFonts w:ascii="Calibri" w:hAnsi="Calibri" w:cs="Calibri"/>
          <w:lang w:val="en-ZA"/>
        </w:rPr>
        <w:t xml:space="preserve"> </w:t>
      </w:r>
      <w:r w:rsidRPr="0012168F">
        <w:rPr>
          <w:rFonts w:ascii="Calibri" w:hAnsi="Calibri" w:cs="Calibri"/>
          <w:lang w:val="en-ZA"/>
        </w:rPr>
        <w:t xml:space="preserve">and virtual participation. This allows participants from different regions and socioeconomic backgrounds to join without geographical or financial barriers. </w:t>
      </w:r>
    </w:p>
    <w:p w14:paraId="437C49B9" w14:textId="73469C4B" w:rsidR="00F46731" w:rsidRPr="0012168F" w:rsidRDefault="00F46731" w:rsidP="00EC1786">
      <w:pPr>
        <w:jc w:val="both"/>
        <w:rPr>
          <w:rFonts w:ascii="Calibri" w:hAnsi="Calibri" w:cs="Calibri"/>
          <w:i/>
          <w:iCs/>
          <w:lang w:val="en-ZA"/>
        </w:rPr>
      </w:pPr>
      <w:r w:rsidRPr="0012168F">
        <w:rPr>
          <w:rFonts w:ascii="Calibri" w:hAnsi="Calibri" w:cs="Calibri"/>
          <w:i/>
          <w:iCs/>
          <w:lang w:val="en-ZA"/>
        </w:rPr>
        <w:t>Interactive Dialogue Circle</w:t>
      </w:r>
      <w:r w:rsidR="006A28AF" w:rsidRPr="0012168F">
        <w:rPr>
          <w:rFonts w:ascii="Calibri" w:hAnsi="Calibri" w:cs="Calibri"/>
          <w:i/>
          <w:iCs/>
          <w:lang w:val="en-ZA"/>
        </w:rPr>
        <w:t>s</w:t>
      </w:r>
    </w:p>
    <w:p w14:paraId="419FC400" w14:textId="2EE97B3B" w:rsidR="00F46731" w:rsidRPr="0012168F" w:rsidRDefault="00F46731" w:rsidP="00EC1786">
      <w:pPr>
        <w:jc w:val="both"/>
        <w:rPr>
          <w:rFonts w:ascii="Calibri" w:hAnsi="Calibri" w:cs="Calibri"/>
          <w:lang w:val="en-ZA"/>
        </w:rPr>
      </w:pPr>
      <w:r w:rsidRPr="0012168F">
        <w:rPr>
          <w:rFonts w:ascii="Calibri" w:hAnsi="Calibri" w:cs="Calibri"/>
          <w:lang w:val="en-ZA"/>
        </w:rPr>
        <w:t>Mov</w:t>
      </w:r>
      <w:r w:rsidR="006A28AF" w:rsidRPr="0012168F">
        <w:rPr>
          <w:rFonts w:ascii="Calibri" w:hAnsi="Calibri" w:cs="Calibri"/>
          <w:lang w:val="en-ZA"/>
        </w:rPr>
        <w:t>ing</w:t>
      </w:r>
      <w:r w:rsidRPr="0012168F">
        <w:rPr>
          <w:rFonts w:ascii="Calibri" w:hAnsi="Calibri" w:cs="Calibri"/>
          <w:lang w:val="en-ZA"/>
        </w:rPr>
        <w:t xml:space="preserve"> away from traditional panels with only expert speakers </w:t>
      </w:r>
      <w:r w:rsidR="0097221C" w:rsidRPr="0012168F">
        <w:rPr>
          <w:rFonts w:ascii="Calibri" w:hAnsi="Calibri" w:cs="Calibri"/>
          <w:lang w:val="en-ZA"/>
        </w:rPr>
        <w:t xml:space="preserve">the </w:t>
      </w:r>
      <w:r w:rsidR="002F7DB7">
        <w:rPr>
          <w:rFonts w:ascii="Calibri" w:hAnsi="Calibri" w:cs="Calibri"/>
          <w:lang w:val="en-ZA"/>
        </w:rPr>
        <w:t>forum</w:t>
      </w:r>
      <w:r w:rsidR="0097221C" w:rsidRPr="0012168F">
        <w:rPr>
          <w:rFonts w:ascii="Calibri" w:hAnsi="Calibri" w:cs="Calibri"/>
          <w:lang w:val="en-ZA"/>
        </w:rPr>
        <w:t xml:space="preserve"> will incorporate d</w:t>
      </w:r>
      <w:r w:rsidRPr="0012168F">
        <w:rPr>
          <w:rFonts w:ascii="Calibri" w:hAnsi="Calibri" w:cs="Calibri"/>
          <w:lang w:val="en-ZA"/>
        </w:rPr>
        <w:t>ialogue Circles</w:t>
      </w:r>
      <w:r w:rsidR="0097221C" w:rsidRPr="0012168F">
        <w:rPr>
          <w:rFonts w:ascii="Calibri" w:hAnsi="Calibri" w:cs="Calibri"/>
          <w:lang w:val="en-ZA"/>
        </w:rPr>
        <w:t xml:space="preserve"> </w:t>
      </w:r>
      <w:r w:rsidRPr="0012168F">
        <w:rPr>
          <w:rFonts w:ascii="Calibri" w:hAnsi="Calibri" w:cs="Calibri"/>
          <w:lang w:val="en-ZA"/>
        </w:rPr>
        <w:t xml:space="preserve">where participants—experts, </w:t>
      </w:r>
      <w:r w:rsidR="0097221C" w:rsidRPr="0012168F">
        <w:rPr>
          <w:rFonts w:ascii="Calibri" w:hAnsi="Calibri" w:cs="Calibri"/>
          <w:lang w:val="en-ZA"/>
        </w:rPr>
        <w:t>human rights defenders</w:t>
      </w:r>
      <w:r w:rsidRPr="0012168F">
        <w:rPr>
          <w:rFonts w:ascii="Calibri" w:hAnsi="Calibri" w:cs="Calibri"/>
          <w:lang w:val="en-ZA"/>
        </w:rPr>
        <w:t xml:space="preserve">, survivors, and community members—sit in small, inclusive groups to discuss specific topics. </w:t>
      </w:r>
    </w:p>
    <w:p w14:paraId="292F19FB" w14:textId="5E48E383" w:rsidR="00F46731" w:rsidRPr="0012168F" w:rsidRDefault="00F46731" w:rsidP="00EC1786">
      <w:pPr>
        <w:jc w:val="both"/>
        <w:rPr>
          <w:rFonts w:ascii="Calibri" w:hAnsi="Calibri" w:cs="Calibri"/>
          <w:i/>
          <w:iCs/>
          <w:lang w:val="en-ZA"/>
        </w:rPr>
      </w:pPr>
      <w:r w:rsidRPr="0012168F">
        <w:rPr>
          <w:rFonts w:ascii="Calibri" w:hAnsi="Calibri" w:cs="Calibri"/>
          <w:i/>
          <w:iCs/>
          <w:lang w:val="en-ZA"/>
        </w:rPr>
        <w:t>Thematic Breakout Rooms and Hands-On Workshop</w:t>
      </w:r>
    </w:p>
    <w:p w14:paraId="0F046DD4" w14:textId="28558B56" w:rsidR="00F46731" w:rsidRPr="0012168F" w:rsidRDefault="00F46731" w:rsidP="00EC1786">
      <w:pPr>
        <w:jc w:val="both"/>
        <w:rPr>
          <w:rFonts w:ascii="Calibri" w:hAnsi="Calibri" w:cs="Calibri"/>
          <w:lang w:val="en-ZA"/>
        </w:rPr>
      </w:pPr>
      <w:r w:rsidRPr="0012168F">
        <w:rPr>
          <w:rFonts w:ascii="Calibri" w:hAnsi="Calibri" w:cs="Calibri"/>
          <w:lang w:val="en-ZA"/>
        </w:rPr>
        <w:t xml:space="preserve">After plenary sessions, participants </w:t>
      </w:r>
      <w:r w:rsidR="00AA525B" w:rsidRPr="0012168F">
        <w:rPr>
          <w:rFonts w:ascii="Calibri" w:hAnsi="Calibri" w:cs="Calibri"/>
          <w:lang w:val="en-ZA"/>
        </w:rPr>
        <w:t>can</w:t>
      </w:r>
      <w:r w:rsidRPr="0012168F">
        <w:rPr>
          <w:rFonts w:ascii="Calibri" w:hAnsi="Calibri" w:cs="Calibri"/>
          <w:lang w:val="en-ZA"/>
        </w:rPr>
        <w:t xml:space="preserve"> choose from several </w:t>
      </w:r>
      <w:r w:rsidR="00AA525B" w:rsidRPr="0012168F">
        <w:rPr>
          <w:rFonts w:ascii="Calibri" w:hAnsi="Calibri" w:cs="Calibri"/>
          <w:lang w:val="en-ZA"/>
        </w:rPr>
        <w:t>b</w:t>
      </w:r>
      <w:r w:rsidRPr="0012168F">
        <w:rPr>
          <w:rFonts w:ascii="Calibri" w:hAnsi="Calibri" w:cs="Calibri"/>
          <w:lang w:val="en-ZA"/>
        </w:rPr>
        <w:t xml:space="preserve">reakout </w:t>
      </w:r>
      <w:r w:rsidR="00AA525B" w:rsidRPr="0012168F">
        <w:rPr>
          <w:rFonts w:ascii="Calibri" w:hAnsi="Calibri" w:cs="Calibri"/>
          <w:lang w:val="en-ZA"/>
        </w:rPr>
        <w:t>rooms</w:t>
      </w:r>
      <w:r w:rsidRPr="0012168F">
        <w:rPr>
          <w:rFonts w:ascii="Calibri" w:hAnsi="Calibri" w:cs="Calibri"/>
          <w:lang w:val="en-ZA"/>
        </w:rPr>
        <w:t>, each focused on a specific theme (e.g., legal reform, economic empowerment, men’s engagement, media and art, youth participation).</w:t>
      </w:r>
    </w:p>
    <w:p w14:paraId="08C3807B" w14:textId="7B10AE07" w:rsidR="00F46731" w:rsidRPr="0012168F" w:rsidRDefault="00F46731" w:rsidP="00EC1786">
      <w:pPr>
        <w:jc w:val="both"/>
        <w:rPr>
          <w:rFonts w:ascii="Calibri" w:hAnsi="Calibri" w:cs="Calibri"/>
          <w:lang w:val="en-ZA"/>
        </w:rPr>
      </w:pPr>
      <w:r w:rsidRPr="22DCAA19">
        <w:rPr>
          <w:rFonts w:ascii="Calibri" w:hAnsi="Calibri" w:cs="Calibri"/>
          <w:lang w:val="en-ZA"/>
        </w:rPr>
        <w:t xml:space="preserve">Interactive Workshops: </w:t>
      </w:r>
      <w:r w:rsidR="001E4182" w:rsidRPr="22DCAA19">
        <w:rPr>
          <w:rFonts w:ascii="Calibri" w:hAnsi="Calibri" w:cs="Calibri"/>
          <w:lang w:val="en-ZA"/>
        </w:rPr>
        <w:t>These should include</w:t>
      </w:r>
      <w:r w:rsidRPr="22DCAA19">
        <w:rPr>
          <w:rFonts w:ascii="Calibri" w:hAnsi="Calibri" w:cs="Calibri"/>
          <w:lang w:val="en-ZA"/>
        </w:rPr>
        <w:t xml:space="preserve"> hands-on, participatory workshops where participants can learn practical skills. For instance</w:t>
      </w:r>
      <w:r w:rsidR="001E4182" w:rsidRPr="22DCAA19">
        <w:rPr>
          <w:rFonts w:ascii="Calibri" w:hAnsi="Calibri" w:cs="Calibri"/>
          <w:lang w:val="en-ZA"/>
        </w:rPr>
        <w:t>, l</w:t>
      </w:r>
      <w:r w:rsidRPr="22DCAA19">
        <w:rPr>
          <w:rFonts w:ascii="Calibri" w:hAnsi="Calibri" w:cs="Calibri"/>
          <w:lang w:val="en-ZA"/>
        </w:rPr>
        <w:t>egal experts can guide participants in a session on filing GBV cases</w:t>
      </w:r>
      <w:r w:rsidR="001E4182" w:rsidRPr="22DCAA19">
        <w:rPr>
          <w:rFonts w:ascii="Calibri" w:hAnsi="Calibri" w:cs="Calibri"/>
          <w:lang w:val="en-ZA"/>
        </w:rPr>
        <w:t xml:space="preserve"> </w:t>
      </w:r>
      <w:r w:rsidRPr="22DCAA19">
        <w:rPr>
          <w:rFonts w:ascii="Calibri" w:hAnsi="Calibri" w:cs="Calibri"/>
          <w:lang w:val="en-ZA"/>
        </w:rPr>
        <w:t>or navigating the justice system.</w:t>
      </w:r>
      <w:r w:rsidR="001E4182" w:rsidRPr="22DCAA19">
        <w:rPr>
          <w:rFonts w:ascii="Calibri" w:hAnsi="Calibri" w:cs="Calibri"/>
          <w:lang w:val="en-ZA"/>
        </w:rPr>
        <w:t xml:space="preserve"> </w:t>
      </w:r>
      <w:r w:rsidRPr="22DCAA19">
        <w:rPr>
          <w:rFonts w:ascii="Calibri" w:hAnsi="Calibri" w:cs="Calibri"/>
          <w:lang w:val="en-ZA"/>
        </w:rPr>
        <w:t xml:space="preserve">Economic empowerment specialists can run a financial literacy </w:t>
      </w:r>
      <w:r w:rsidRPr="22DCAA19">
        <w:rPr>
          <w:rFonts w:ascii="Calibri" w:hAnsi="Calibri" w:cs="Calibri"/>
          <w:lang w:val="en-ZA"/>
        </w:rPr>
        <w:lastRenderedPageBreak/>
        <w:t>session</w:t>
      </w:r>
      <w:r w:rsidR="001E4182" w:rsidRPr="22DCAA19">
        <w:rPr>
          <w:rFonts w:ascii="Calibri" w:hAnsi="Calibri" w:cs="Calibri"/>
          <w:lang w:val="en-ZA"/>
        </w:rPr>
        <w:t xml:space="preserve"> </w:t>
      </w:r>
      <w:r w:rsidRPr="22DCAA19">
        <w:rPr>
          <w:rFonts w:ascii="Calibri" w:hAnsi="Calibri" w:cs="Calibri"/>
          <w:lang w:val="en-ZA"/>
        </w:rPr>
        <w:t xml:space="preserve">for survivors or </w:t>
      </w:r>
      <w:r w:rsidR="001E4182" w:rsidRPr="22DCAA19">
        <w:rPr>
          <w:rFonts w:ascii="Calibri" w:hAnsi="Calibri" w:cs="Calibri"/>
          <w:lang w:val="en-ZA"/>
        </w:rPr>
        <w:t>human rights defenders</w:t>
      </w:r>
      <w:r w:rsidRPr="22DCAA19">
        <w:rPr>
          <w:rFonts w:ascii="Calibri" w:hAnsi="Calibri" w:cs="Calibri"/>
          <w:lang w:val="en-ZA"/>
        </w:rPr>
        <w:t xml:space="preserve"> working to support them.</w:t>
      </w:r>
      <w:r w:rsidR="001E4182" w:rsidRPr="22DCAA19">
        <w:rPr>
          <w:rFonts w:ascii="Calibri" w:hAnsi="Calibri" w:cs="Calibri"/>
          <w:lang w:val="en-ZA"/>
        </w:rPr>
        <w:t xml:space="preserve"> </w:t>
      </w:r>
      <w:r w:rsidRPr="22DCAA19">
        <w:rPr>
          <w:rFonts w:ascii="Calibri" w:hAnsi="Calibri" w:cs="Calibri"/>
          <w:lang w:val="en-ZA"/>
        </w:rPr>
        <w:t>Create safe breakout rooms where survivors and youth can share experiences and ideas away from the general audience, ensuring they feel comfortable and supported in expressing themselves.</w:t>
      </w:r>
    </w:p>
    <w:p w14:paraId="41DF058A" w14:textId="17FA3F4E" w:rsidR="00F46731" w:rsidRPr="0012168F" w:rsidRDefault="17F851E9" w:rsidP="2696E49F">
      <w:pPr>
        <w:jc w:val="both"/>
        <w:rPr>
          <w:rFonts w:ascii="Calibri" w:hAnsi="Calibri" w:cs="Calibri"/>
          <w:i/>
          <w:iCs/>
          <w:lang w:val="en-ZA"/>
        </w:rPr>
      </w:pPr>
      <w:r w:rsidRPr="2696E49F">
        <w:rPr>
          <w:rFonts w:ascii="Calibri" w:hAnsi="Calibri" w:cs="Calibri"/>
          <w:i/>
          <w:iCs/>
          <w:lang w:val="en-ZA"/>
        </w:rPr>
        <w:t>Digital Innovations and Hackathon on GBV Solutions</w:t>
      </w:r>
    </w:p>
    <w:p w14:paraId="7241282F" w14:textId="6DC3A6D6" w:rsidR="00F46731" w:rsidRPr="0012168F" w:rsidRDefault="4311F1B8" w:rsidP="00EC1786">
      <w:pPr>
        <w:jc w:val="both"/>
        <w:rPr>
          <w:rFonts w:ascii="Calibri" w:hAnsi="Calibri" w:cs="Calibri"/>
          <w:lang w:val="en-ZA"/>
        </w:rPr>
      </w:pPr>
      <w:r w:rsidRPr="5FB52863">
        <w:rPr>
          <w:rFonts w:ascii="Calibri" w:hAnsi="Calibri" w:cs="Calibri"/>
          <w:lang w:val="en-ZA"/>
        </w:rPr>
        <w:t>Tech and Innovation Expo: A space where organizations and innovators can showcase existing tech solutions such as</w:t>
      </w:r>
      <w:r w:rsidR="5D7D8030" w:rsidRPr="5FB52863">
        <w:rPr>
          <w:rFonts w:ascii="Calibri" w:hAnsi="Calibri" w:cs="Calibri"/>
          <w:lang w:val="en-ZA"/>
        </w:rPr>
        <w:t xml:space="preserve"> </w:t>
      </w:r>
      <w:r w:rsidRPr="5FB52863">
        <w:rPr>
          <w:rFonts w:ascii="Calibri" w:hAnsi="Calibri" w:cs="Calibri"/>
          <w:lang w:val="en-ZA"/>
        </w:rPr>
        <w:t>AI-powered reporting platforms, SMS-based helplines for rural areas, and blockchain-based tools for securing victim testimonies.</w:t>
      </w:r>
      <w:r w:rsidR="4C1D1004" w:rsidRPr="5FB52863">
        <w:rPr>
          <w:rFonts w:ascii="Calibri" w:hAnsi="Calibri" w:cs="Calibri"/>
          <w:lang w:val="en-ZA"/>
        </w:rPr>
        <w:t xml:space="preserve"> The </w:t>
      </w:r>
      <w:r w:rsidR="3AD3F917" w:rsidRPr="5FB52863">
        <w:rPr>
          <w:rFonts w:ascii="Calibri" w:hAnsi="Calibri" w:cs="Calibri"/>
          <w:lang w:val="en-ZA"/>
        </w:rPr>
        <w:t>session will include practical skills on protection regarding TF-GBV.  The ideas generated will be used to inform “</w:t>
      </w:r>
      <w:r w:rsidR="6EE5019F" w:rsidRPr="5FB52863">
        <w:rPr>
          <w:rFonts w:ascii="Calibri" w:hAnsi="Calibri" w:cs="Calibri"/>
          <w:lang w:val="en-ZA"/>
        </w:rPr>
        <w:t xml:space="preserve">GBV Prevention Innovation Challenge” for the participants to take forward. </w:t>
      </w:r>
    </w:p>
    <w:p w14:paraId="2B5911E2" w14:textId="3EC0174F" w:rsidR="00F46731" w:rsidRPr="0012168F" w:rsidRDefault="00F46731" w:rsidP="00EC1786">
      <w:pPr>
        <w:jc w:val="both"/>
        <w:rPr>
          <w:rFonts w:ascii="Calibri" w:hAnsi="Calibri" w:cs="Calibri"/>
          <w:i/>
          <w:iCs/>
          <w:lang w:val="en-ZA"/>
        </w:rPr>
      </w:pPr>
      <w:r w:rsidRPr="0012168F">
        <w:rPr>
          <w:rFonts w:ascii="Calibri" w:hAnsi="Calibri" w:cs="Calibri"/>
          <w:i/>
          <w:iCs/>
          <w:lang w:val="en-ZA"/>
        </w:rPr>
        <w:t>Creative Interludes and Wellness Breaks</w:t>
      </w:r>
    </w:p>
    <w:p w14:paraId="5973ED32" w14:textId="47D6C858" w:rsidR="00F46731" w:rsidRPr="0012168F" w:rsidRDefault="00F46731" w:rsidP="00EC1786">
      <w:pPr>
        <w:jc w:val="both"/>
        <w:rPr>
          <w:rFonts w:ascii="Calibri" w:hAnsi="Calibri" w:cs="Calibri"/>
          <w:lang w:val="en-ZA"/>
        </w:rPr>
      </w:pPr>
      <w:r w:rsidRPr="0012168F">
        <w:rPr>
          <w:rFonts w:ascii="Calibri" w:hAnsi="Calibri" w:cs="Calibri"/>
          <w:lang w:val="en-ZA"/>
        </w:rPr>
        <w:t xml:space="preserve">Integrating wellness and creativity into the event will ensure participants are engaged, inspired, and not overwhelmed by the heavy content. </w:t>
      </w:r>
      <w:r w:rsidR="001A5D09" w:rsidRPr="0012168F">
        <w:rPr>
          <w:rFonts w:ascii="Calibri" w:hAnsi="Calibri" w:cs="Calibri"/>
          <w:lang w:val="en-ZA"/>
        </w:rPr>
        <w:t>Short breaks led by wellness practitioners will help participants decompress. These</w:t>
      </w:r>
      <w:r w:rsidRPr="0012168F">
        <w:rPr>
          <w:rFonts w:ascii="Calibri" w:hAnsi="Calibri" w:cs="Calibri"/>
          <w:lang w:val="en-ZA"/>
        </w:rPr>
        <w:t xml:space="preserve"> could include meditation, stretching, or breathing exercises designed to process the emotional weight of GBV discussions.</w:t>
      </w:r>
      <w:r w:rsidR="00314BFC" w:rsidRPr="0012168F">
        <w:rPr>
          <w:rFonts w:ascii="Calibri" w:hAnsi="Calibri" w:cs="Calibri"/>
          <w:lang w:val="en-ZA"/>
        </w:rPr>
        <w:t xml:space="preserve"> </w:t>
      </w:r>
      <w:r w:rsidRPr="0012168F">
        <w:rPr>
          <w:rFonts w:ascii="Calibri" w:hAnsi="Calibri" w:cs="Calibri"/>
          <w:lang w:val="en-ZA"/>
        </w:rPr>
        <w:t>Poetry</w:t>
      </w:r>
      <w:r w:rsidR="00314BFC" w:rsidRPr="0012168F">
        <w:rPr>
          <w:rFonts w:ascii="Calibri" w:hAnsi="Calibri" w:cs="Calibri"/>
          <w:lang w:val="en-ZA"/>
        </w:rPr>
        <w:t xml:space="preserve">, </w:t>
      </w:r>
      <w:r w:rsidRPr="0012168F">
        <w:rPr>
          <w:rFonts w:ascii="Calibri" w:hAnsi="Calibri" w:cs="Calibri"/>
          <w:lang w:val="en-ZA"/>
        </w:rPr>
        <w:t>music, and artists will be interspersed throughout the event to inspire participants and offer moments of reflection.</w:t>
      </w:r>
    </w:p>
    <w:p w14:paraId="6B98DAA4" w14:textId="087974EF" w:rsidR="00F46731" w:rsidRPr="0012168F" w:rsidRDefault="00F46731" w:rsidP="00EC1786">
      <w:pPr>
        <w:jc w:val="both"/>
        <w:rPr>
          <w:rFonts w:ascii="Calibri" w:hAnsi="Calibri" w:cs="Calibri"/>
          <w:i/>
          <w:iCs/>
          <w:lang w:val="en-ZA"/>
        </w:rPr>
      </w:pPr>
      <w:r w:rsidRPr="0012168F">
        <w:rPr>
          <w:rFonts w:ascii="Calibri" w:hAnsi="Calibri" w:cs="Calibri"/>
          <w:i/>
          <w:iCs/>
          <w:lang w:val="en-ZA"/>
        </w:rPr>
        <w:t>Outcome-Oriented Approach</w:t>
      </w:r>
    </w:p>
    <w:p w14:paraId="626769B1" w14:textId="6E23816E" w:rsidR="00F46731" w:rsidRPr="0012168F" w:rsidRDefault="00F46731" w:rsidP="00EC1786">
      <w:pPr>
        <w:jc w:val="both"/>
        <w:rPr>
          <w:rFonts w:ascii="Calibri" w:hAnsi="Calibri" w:cs="Calibri"/>
          <w:lang w:val="en-ZA"/>
        </w:rPr>
      </w:pPr>
      <w:r w:rsidRPr="434126B1">
        <w:rPr>
          <w:rFonts w:ascii="Calibri" w:hAnsi="Calibri" w:cs="Calibri"/>
          <w:lang w:val="en-ZA"/>
        </w:rPr>
        <w:t>The</w:t>
      </w:r>
      <w:r w:rsidR="00314BFC" w:rsidRPr="434126B1">
        <w:rPr>
          <w:rFonts w:ascii="Calibri" w:hAnsi="Calibri" w:cs="Calibri"/>
          <w:lang w:val="en-ZA"/>
        </w:rPr>
        <w:t xml:space="preserve"> </w:t>
      </w:r>
      <w:r w:rsidR="00C534DF">
        <w:rPr>
          <w:rFonts w:ascii="Calibri" w:hAnsi="Calibri" w:cs="Calibri"/>
          <w:lang w:val="en-ZA"/>
        </w:rPr>
        <w:t>forum</w:t>
      </w:r>
      <w:r w:rsidRPr="434126B1">
        <w:rPr>
          <w:rFonts w:ascii="Calibri" w:hAnsi="Calibri" w:cs="Calibri"/>
          <w:lang w:val="en-ZA"/>
        </w:rPr>
        <w:t xml:space="preserve"> will culminate in a co-developed</w:t>
      </w:r>
      <w:r w:rsidR="00314BFC" w:rsidRPr="434126B1">
        <w:rPr>
          <w:rFonts w:ascii="Calibri" w:hAnsi="Calibri" w:cs="Calibri"/>
          <w:lang w:val="en-ZA"/>
        </w:rPr>
        <w:t xml:space="preserve"> </w:t>
      </w:r>
      <w:r w:rsidRPr="434126B1">
        <w:rPr>
          <w:rFonts w:ascii="Calibri" w:hAnsi="Calibri" w:cs="Calibri"/>
          <w:lang w:val="en-ZA"/>
        </w:rPr>
        <w:t xml:space="preserve">Action Plan with commitments from governments, NGOs, international organizations, and community groups. Each participant will have a clear role in taking these commitments forward. </w:t>
      </w:r>
    </w:p>
    <w:p w14:paraId="65538827" w14:textId="55FC24C8" w:rsidR="00981F6F" w:rsidRPr="0012168F" w:rsidRDefault="00981F6F" w:rsidP="00EC1786">
      <w:pPr>
        <w:jc w:val="both"/>
        <w:rPr>
          <w:rFonts w:ascii="Calibri" w:hAnsi="Calibri" w:cs="Calibri"/>
          <w:b/>
          <w:bCs/>
          <w:lang w:val="en-ZA"/>
        </w:rPr>
      </w:pPr>
      <w:r w:rsidRPr="22DCAA19">
        <w:rPr>
          <w:rFonts w:ascii="Calibri" w:hAnsi="Calibri" w:cs="Calibri"/>
          <w:b/>
          <w:bCs/>
          <w:lang w:val="en-ZA"/>
        </w:rPr>
        <w:t>Expected Outcomes</w:t>
      </w:r>
    </w:p>
    <w:p w14:paraId="3EF58065" w14:textId="1FD88405" w:rsidR="00981F6F" w:rsidRPr="0012168F" w:rsidRDefault="00981F6F" w:rsidP="2CE16AB5">
      <w:pPr>
        <w:pStyle w:val="ListParagraph"/>
        <w:numPr>
          <w:ilvl w:val="0"/>
          <w:numId w:val="1"/>
        </w:numPr>
        <w:jc w:val="both"/>
        <w:rPr>
          <w:rFonts w:ascii="Calibri" w:hAnsi="Calibri" w:cs="Calibri"/>
          <w:lang w:val="en-ZA"/>
        </w:rPr>
      </w:pPr>
      <w:r w:rsidRPr="2CE16AB5">
        <w:rPr>
          <w:rFonts w:ascii="Calibri" w:hAnsi="Calibri" w:cs="Calibri"/>
          <w:lang w:val="en-ZA"/>
        </w:rPr>
        <w:t xml:space="preserve">A set of </w:t>
      </w:r>
      <w:r w:rsidR="03AAC37F" w:rsidRPr="2CE16AB5">
        <w:rPr>
          <w:rFonts w:ascii="Calibri" w:hAnsi="Calibri" w:cs="Calibri"/>
          <w:lang w:val="en-ZA"/>
        </w:rPr>
        <w:t xml:space="preserve">policy recommendations. </w:t>
      </w:r>
    </w:p>
    <w:p w14:paraId="2CAD1E03" w14:textId="504D8736" w:rsidR="00981F6F" w:rsidRPr="0012168F" w:rsidRDefault="0BCCB264" w:rsidP="2CE16AB5">
      <w:pPr>
        <w:pStyle w:val="ListParagraph"/>
        <w:numPr>
          <w:ilvl w:val="0"/>
          <w:numId w:val="1"/>
        </w:numPr>
        <w:jc w:val="both"/>
        <w:rPr>
          <w:rFonts w:ascii="Calibri" w:hAnsi="Calibri" w:cs="Calibri"/>
          <w:lang w:val="en-ZA"/>
        </w:rPr>
      </w:pPr>
      <w:r w:rsidRPr="2CE16AB5">
        <w:rPr>
          <w:rFonts w:ascii="Calibri" w:hAnsi="Calibri" w:cs="Calibri"/>
          <w:lang w:val="en-ZA"/>
        </w:rPr>
        <w:t>P</w:t>
      </w:r>
      <w:r w:rsidR="00981F6F" w:rsidRPr="2CE16AB5">
        <w:rPr>
          <w:rFonts w:ascii="Calibri" w:hAnsi="Calibri" w:cs="Calibri"/>
          <w:lang w:val="en-ZA"/>
        </w:rPr>
        <w:t>ractical recommendations</w:t>
      </w:r>
      <w:r w:rsidR="2362C38A" w:rsidRPr="2CE16AB5">
        <w:rPr>
          <w:rFonts w:ascii="Calibri" w:hAnsi="Calibri" w:cs="Calibri"/>
          <w:lang w:val="en-ZA"/>
        </w:rPr>
        <w:t>/ collaborative framework to</w:t>
      </w:r>
      <w:r w:rsidR="00981F6F" w:rsidRPr="2CE16AB5">
        <w:rPr>
          <w:rFonts w:ascii="Calibri" w:hAnsi="Calibri" w:cs="Calibri"/>
          <w:lang w:val="en-ZA"/>
        </w:rPr>
        <w:t xml:space="preserve"> improve the coordination of GBV prevention initiatives.</w:t>
      </w:r>
      <w:r w:rsidR="001A5D09" w:rsidRPr="2CE16AB5">
        <w:rPr>
          <w:rFonts w:ascii="Calibri" w:hAnsi="Calibri" w:cs="Calibri"/>
          <w:lang w:val="en-ZA"/>
        </w:rPr>
        <w:t xml:space="preserve"> </w:t>
      </w:r>
    </w:p>
    <w:p w14:paraId="7D6A10C6" w14:textId="05D1D287" w:rsidR="00981F6F" w:rsidRPr="0012168F" w:rsidRDefault="4E0AF738" w:rsidP="2CE16AB5">
      <w:pPr>
        <w:pStyle w:val="ListParagraph"/>
        <w:numPr>
          <w:ilvl w:val="0"/>
          <w:numId w:val="1"/>
        </w:numPr>
        <w:jc w:val="both"/>
        <w:rPr>
          <w:rFonts w:ascii="Calibri" w:hAnsi="Calibri" w:cs="Calibri"/>
          <w:lang w:val="en-ZA"/>
        </w:rPr>
      </w:pPr>
      <w:r w:rsidRPr="2CE16AB5">
        <w:rPr>
          <w:rFonts w:ascii="Calibri" w:hAnsi="Calibri" w:cs="Calibri"/>
          <w:lang w:val="en-ZA"/>
        </w:rPr>
        <w:t xml:space="preserve">An action </w:t>
      </w:r>
      <w:r w:rsidR="67A033D6" w:rsidRPr="2CE16AB5">
        <w:rPr>
          <w:rFonts w:ascii="Calibri" w:hAnsi="Calibri" w:cs="Calibri"/>
          <w:lang w:val="en-ZA"/>
        </w:rPr>
        <w:t xml:space="preserve">roadmap to facilitate follow up on the agreed action plan from the symposium </w:t>
      </w:r>
    </w:p>
    <w:p w14:paraId="316B2E1A" w14:textId="08005B83" w:rsidR="00981F6F" w:rsidRPr="0012168F" w:rsidRDefault="00981F6F" w:rsidP="2CE16AB5">
      <w:pPr>
        <w:pStyle w:val="ListParagraph"/>
        <w:numPr>
          <w:ilvl w:val="0"/>
          <w:numId w:val="1"/>
        </w:numPr>
        <w:jc w:val="both"/>
        <w:rPr>
          <w:rFonts w:ascii="Calibri" w:hAnsi="Calibri" w:cs="Calibri"/>
          <w:lang w:val="en-ZA"/>
        </w:rPr>
      </w:pPr>
      <w:r w:rsidRPr="2CE16AB5">
        <w:rPr>
          <w:rFonts w:ascii="Calibri" w:hAnsi="Calibri" w:cs="Calibri"/>
          <w:lang w:val="en-ZA"/>
        </w:rPr>
        <w:t>A comprehensive report outlining strategies to scale up successful GBV interventions.</w:t>
      </w:r>
    </w:p>
    <w:p w14:paraId="77D46984" w14:textId="3C320992" w:rsidR="00981F6F" w:rsidRPr="0012168F" w:rsidRDefault="00981F6F" w:rsidP="00EC1786">
      <w:pPr>
        <w:jc w:val="both"/>
        <w:rPr>
          <w:rFonts w:ascii="Calibri" w:hAnsi="Calibri" w:cs="Calibri"/>
          <w:b/>
          <w:bCs/>
          <w:lang w:val="en-ZA"/>
        </w:rPr>
      </w:pPr>
      <w:r w:rsidRPr="0012168F">
        <w:rPr>
          <w:rFonts w:ascii="Calibri" w:hAnsi="Calibri" w:cs="Calibri"/>
          <w:b/>
          <w:bCs/>
          <w:lang w:val="en-ZA"/>
        </w:rPr>
        <w:t>Participants</w:t>
      </w:r>
    </w:p>
    <w:p w14:paraId="47FB00A5" w14:textId="150ABB14" w:rsidR="0096751D" w:rsidRPr="0012168F" w:rsidRDefault="00981F6F" w:rsidP="00EC1786">
      <w:pPr>
        <w:jc w:val="both"/>
        <w:rPr>
          <w:rFonts w:ascii="Calibri" w:hAnsi="Calibri" w:cs="Calibri"/>
          <w:lang w:val="en-ZA"/>
        </w:rPr>
      </w:pPr>
      <w:r w:rsidRPr="0012168F">
        <w:rPr>
          <w:rFonts w:ascii="Calibri" w:hAnsi="Calibri" w:cs="Calibri"/>
          <w:lang w:val="en-ZA"/>
        </w:rPr>
        <w:t xml:space="preserve">Participants will include government officials, representatives from the United Nations and international agencies, NGOs, legal professionals, community leaders, and gender rights </w:t>
      </w:r>
      <w:r w:rsidR="001A5D09" w:rsidRPr="0012168F">
        <w:rPr>
          <w:rFonts w:ascii="Calibri" w:hAnsi="Calibri" w:cs="Calibri"/>
          <w:lang w:val="en-ZA"/>
        </w:rPr>
        <w:t>and human rights defenders</w:t>
      </w:r>
      <w:r w:rsidRPr="0012168F">
        <w:rPr>
          <w:rFonts w:ascii="Calibri" w:hAnsi="Calibri" w:cs="Calibri"/>
          <w:lang w:val="en-ZA"/>
        </w:rPr>
        <w:t xml:space="preserve"> across Southern Africa.</w:t>
      </w:r>
    </w:p>
    <w:sectPr w:rsidR="0096751D" w:rsidRPr="0012168F" w:rsidSect="00AE67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DC4A" w14:textId="77777777" w:rsidR="003034DF" w:rsidRDefault="003034DF" w:rsidP="00F35317">
      <w:pPr>
        <w:spacing w:after="0" w:line="240" w:lineRule="auto"/>
      </w:pPr>
      <w:r>
        <w:separator/>
      </w:r>
    </w:p>
  </w:endnote>
  <w:endnote w:type="continuationSeparator" w:id="0">
    <w:p w14:paraId="256AE7D3" w14:textId="77777777" w:rsidR="003034DF" w:rsidRDefault="003034DF" w:rsidP="00F3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3B23" w14:textId="77777777" w:rsidR="00AE67A0" w:rsidRDefault="00AE6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0888" w14:textId="77777777" w:rsidR="00AE67A0" w:rsidRDefault="00AE6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6BE4" w14:textId="77777777" w:rsidR="00AE67A0" w:rsidRDefault="00AE6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1995" w14:textId="77777777" w:rsidR="003034DF" w:rsidRDefault="003034DF" w:rsidP="00F35317">
      <w:pPr>
        <w:spacing w:after="0" w:line="240" w:lineRule="auto"/>
      </w:pPr>
      <w:r>
        <w:separator/>
      </w:r>
    </w:p>
  </w:footnote>
  <w:footnote w:type="continuationSeparator" w:id="0">
    <w:p w14:paraId="73669340" w14:textId="77777777" w:rsidR="003034DF" w:rsidRDefault="003034DF" w:rsidP="00F35317">
      <w:pPr>
        <w:spacing w:after="0" w:line="240" w:lineRule="auto"/>
      </w:pPr>
      <w:r>
        <w:continuationSeparator/>
      </w:r>
    </w:p>
  </w:footnote>
  <w:footnote w:id="1">
    <w:p w14:paraId="0202DF3E" w14:textId="77777777" w:rsidR="006F0DCA" w:rsidRDefault="006F0DCA" w:rsidP="006F0DCA">
      <w:pPr>
        <w:pStyle w:val="FootnoteText"/>
      </w:pPr>
      <w:r>
        <w:rPr>
          <w:rStyle w:val="FootnoteReference"/>
        </w:rPr>
        <w:footnoteRef/>
      </w:r>
      <w:r>
        <w:t xml:space="preserve"> B. Faith, 2022, Tackling online gender-based violence; understanding gender, development, and the power relations of digital spaces.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B029" w14:textId="77777777" w:rsidR="00AE67A0" w:rsidRDefault="00AE6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76E8" w14:textId="30B89A6F" w:rsidR="00F35317" w:rsidRDefault="00BB033A">
    <w:pPr>
      <w:pStyle w:val="Header"/>
    </w:pPr>
    <w:r>
      <w:rPr>
        <w:noProof/>
      </w:rPr>
      <w:drawing>
        <wp:anchor distT="0" distB="0" distL="114300" distR="114300" simplePos="0" relativeHeight="251658240" behindDoc="0" locked="0" layoutInCell="1" allowOverlap="1" wp14:anchorId="203A35A8" wp14:editId="76C48B17">
          <wp:simplePos x="0" y="0"/>
          <wp:positionH relativeFrom="margin">
            <wp:posOffset>-583565</wp:posOffset>
          </wp:positionH>
          <wp:positionV relativeFrom="margin">
            <wp:posOffset>-1519555</wp:posOffset>
          </wp:positionV>
          <wp:extent cx="586105" cy="829310"/>
          <wp:effectExtent l="0" t="0" r="4445" b="8890"/>
          <wp:wrapSquare wrapText="bothSides"/>
          <wp:docPr id="906085428" name="Picture 4" descr="A logo for a confer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85428" name="Picture 4" descr="A logo for a conferen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6105" cy="829310"/>
                  </a:xfrm>
                  <a:prstGeom prst="rect">
                    <a:avLst/>
                  </a:prstGeom>
                </pic:spPr>
              </pic:pic>
            </a:graphicData>
          </a:graphic>
          <wp14:sizeRelH relativeFrom="margin">
            <wp14:pctWidth>0</wp14:pctWidth>
          </wp14:sizeRelH>
          <wp14:sizeRelV relativeFrom="margin">
            <wp14:pctHeight>0</wp14:pctHeight>
          </wp14:sizeRelV>
        </wp:anchor>
      </w:drawing>
    </w:r>
    <w:r w:rsidR="005A3B2F">
      <w:rPr>
        <w:noProof/>
      </w:rPr>
      <w:drawing>
        <wp:anchor distT="0" distB="0" distL="114300" distR="114300" simplePos="0" relativeHeight="251658241" behindDoc="0" locked="0" layoutInCell="1" allowOverlap="1" wp14:anchorId="713E16A8" wp14:editId="42830B18">
          <wp:simplePos x="0" y="0"/>
          <wp:positionH relativeFrom="page">
            <wp:posOffset>5534025</wp:posOffset>
          </wp:positionH>
          <wp:positionV relativeFrom="paragraph">
            <wp:posOffset>-372745</wp:posOffset>
          </wp:positionV>
          <wp:extent cx="1905000" cy="901065"/>
          <wp:effectExtent l="0" t="0" r="0" b="0"/>
          <wp:wrapSquare wrapText="bothSides"/>
          <wp:docPr id="5" name="Picture 5"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white background&#10;&#10;Description automatically generated"/>
                  <pic:cNvPicPr/>
                </pic:nvPicPr>
                <pic:blipFill rotWithShape="1">
                  <a:blip r:embed="rId2" cstate="print">
                    <a:extLst>
                      <a:ext uri="{28A0092B-C50C-407E-A947-70E740481C1C}">
                        <a14:useLocalDpi xmlns:a14="http://schemas.microsoft.com/office/drawing/2010/main" val="0"/>
                      </a:ext>
                    </a:extLst>
                  </a:blip>
                  <a:srcRect l="67955" t="28501" r="5502" b="-1966"/>
                  <a:stretch/>
                </pic:blipFill>
                <pic:spPr bwMode="auto">
                  <a:xfrm>
                    <a:off x="0" y="0"/>
                    <a:ext cx="1905000" cy="901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3B2F">
      <w:tab/>
    </w:r>
    <w:r>
      <w:rPr>
        <w:noProof/>
        <w:lang w:val="de-CH" w:eastAsia="de-CH"/>
      </w:rPr>
      <w:drawing>
        <wp:inline distT="0" distB="0" distL="0" distR="0" wp14:anchorId="7C0DB648" wp14:editId="3516EE47">
          <wp:extent cx="1533525" cy="626130"/>
          <wp:effectExtent l="0" t="0" r="0" b="2540"/>
          <wp:docPr id="2" name="Picture 1" descr="http://dfai/SupportServices/Press/LHP/DFAT%20Logo%20Library/DFAT_LOGOS_2012/DISPLAY_HARP/DISPLAY_jpg/EI_GreenSpot_DISPLAY%20copy%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dfai/SupportServices/Press/LHP/DFAT%20Logo%20Library/DFAT_LOGOS_2012/DISPLAY_HARP/DISPLAY_jpg/EI_GreenSpot_DISPLAY%20copy%20copy.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44336" cy="630544"/>
                  </a:xfrm>
                  <a:prstGeom prst="rect">
                    <a:avLst/>
                  </a:prstGeom>
                  <a:noFill/>
                  <a:ln>
                    <a:noFill/>
                  </a:ln>
                </pic:spPr>
              </pic:pic>
            </a:graphicData>
          </a:graphic>
        </wp:inline>
      </w:drawing>
    </w:r>
    <w:r>
      <w:rPr>
        <w:noProof/>
        <w:lang w:val="de-CH" w:eastAsia="de-CH"/>
      </w:rPr>
      <w:drawing>
        <wp:inline distT="0" distB="0" distL="0" distR="0" wp14:anchorId="63C61BA4" wp14:editId="421F4436">
          <wp:extent cx="1809750" cy="580400"/>
          <wp:effectExtent l="0" t="0" r="0" b="0"/>
          <wp:docPr id="291820413" name="Picture 3" descr="Swiss Agency for Development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iss Agency for Development and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6158" cy="592076"/>
                  </a:xfrm>
                  <a:prstGeom prst="rect">
                    <a:avLst/>
                  </a:prstGeom>
                  <a:noFill/>
                  <a:ln>
                    <a:noFill/>
                  </a:ln>
                </pic:spPr>
              </pic:pic>
            </a:graphicData>
          </a:graphic>
        </wp:inline>
      </w:drawing>
    </w:r>
    <w:r w:rsidR="00934A2C">
      <w:ptab w:relativeTo="margin" w:alignment="left" w:leader="none"/>
    </w:r>
    <w:r>
      <w:rPr>
        <w:noProof/>
        <w:lang w:val="de-CH" w:eastAsia="de-CH"/>
      </w:rPr>
      <w:drawing>
        <wp:inline distT="0" distB="0" distL="0" distR="0" wp14:anchorId="7AE83166" wp14:editId="38BC0B05">
          <wp:extent cx="1695450" cy="657225"/>
          <wp:effectExtent l="0" t="0" r="0" b="9525"/>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officeArt object" descr="Image"/>
                  <pic:cNvPicPr/>
                </pic:nvPicPr>
                <pic:blipFill>
                  <a:blip r:embed="rId5"/>
                  <a:stretch>
                    <a:fillRect/>
                  </a:stretch>
                </pic:blipFill>
                <pic:spPr>
                  <a:xfrm>
                    <a:off x="0" y="0"/>
                    <a:ext cx="1695450" cy="657225"/>
                  </a:xfrm>
                  <a:prstGeom prst="rect">
                    <a:avLst/>
                  </a:prstGeom>
                  <a:ln w="12700" cap="flat">
                    <a:noFill/>
                    <a:miter lim="400000"/>
                  </a:ln>
                  <a:effectLst/>
                </pic:spPr>
              </pic:pic>
            </a:graphicData>
          </a:graphic>
        </wp:inline>
      </w:drawing>
    </w:r>
    <w:r>
      <w:t xml:space="preserve"> </w:t>
    </w:r>
    <w:r w:rsidR="00D94EB4" w:rsidRPr="00901CD1">
      <w:rPr>
        <w:lang w:val="en-ZA"/>
      </w:rPr>
      <w:drawing>
        <wp:inline distT="0" distB="0" distL="0" distR="0" wp14:anchorId="35096B78" wp14:editId="456C9796">
          <wp:extent cx="1176379" cy="670560"/>
          <wp:effectExtent l="0" t="0" r="5080" b="0"/>
          <wp:docPr id="1840456945"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56945" name="Picture 4" descr="A black background with a black squar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265" cy="6773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309" w14:textId="77777777" w:rsidR="00AE67A0" w:rsidRDefault="00AE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7C9"/>
    <w:multiLevelType w:val="hybridMultilevel"/>
    <w:tmpl w:val="BB88F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A16B87E"/>
    <w:multiLevelType w:val="hybridMultilevel"/>
    <w:tmpl w:val="FFFFFFFF"/>
    <w:lvl w:ilvl="0" w:tplc="63AC1FF2">
      <w:start w:val="1"/>
      <w:numFmt w:val="bullet"/>
      <w:lvlText w:val=""/>
      <w:lvlJc w:val="left"/>
      <w:pPr>
        <w:ind w:left="720" w:hanging="360"/>
      </w:pPr>
      <w:rPr>
        <w:rFonts w:ascii="Symbol" w:hAnsi="Symbol" w:hint="default"/>
      </w:rPr>
    </w:lvl>
    <w:lvl w:ilvl="1" w:tplc="FC9457EE">
      <w:start w:val="1"/>
      <w:numFmt w:val="bullet"/>
      <w:lvlText w:val="o"/>
      <w:lvlJc w:val="left"/>
      <w:pPr>
        <w:ind w:left="1440" w:hanging="360"/>
      </w:pPr>
      <w:rPr>
        <w:rFonts w:ascii="Courier New" w:hAnsi="Courier New" w:hint="default"/>
      </w:rPr>
    </w:lvl>
    <w:lvl w:ilvl="2" w:tplc="CDF26FDE">
      <w:start w:val="1"/>
      <w:numFmt w:val="bullet"/>
      <w:lvlText w:val=""/>
      <w:lvlJc w:val="left"/>
      <w:pPr>
        <w:ind w:left="2160" w:hanging="360"/>
      </w:pPr>
      <w:rPr>
        <w:rFonts w:ascii="Wingdings" w:hAnsi="Wingdings" w:hint="default"/>
      </w:rPr>
    </w:lvl>
    <w:lvl w:ilvl="3" w:tplc="288C0A98">
      <w:start w:val="1"/>
      <w:numFmt w:val="bullet"/>
      <w:lvlText w:val=""/>
      <w:lvlJc w:val="left"/>
      <w:pPr>
        <w:ind w:left="2880" w:hanging="360"/>
      </w:pPr>
      <w:rPr>
        <w:rFonts w:ascii="Symbol" w:hAnsi="Symbol" w:hint="default"/>
      </w:rPr>
    </w:lvl>
    <w:lvl w:ilvl="4" w:tplc="ECB69D9E">
      <w:start w:val="1"/>
      <w:numFmt w:val="bullet"/>
      <w:lvlText w:val="o"/>
      <w:lvlJc w:val="left"/>
      <w:pPr>
        <w:ind w:left="3600" w:hanging="360"/>
      </w:pPr>
      <w:rPr>
        <w:rFonts w:ascii="Courier New" w:hAnsi="Courier New" w:hint="default"/>
      </w:rPr>
    </w:lvl>
    <w:lvl w:ilvl="5" w:tplc="4296FFA2">
      <w:start w:val="1"/>
      <w:numFmt w:val="bullet"/>
      <w:lvlText w:val=""/>
      <w:lvlJc w:val="left"/>
      <w:pPr>
        <w:ind w:left="4320" w:hanging="360"/>
      </w:pPr>
      <w:rPr>
        <w:rFonts w:ascii="Wingdings" w:hAnsi="Wingdings" w:hint="default"/>
      </w:rPr>
    </w:lvl>
    <w:lvl w:ilvl="6" w:tplc="B61CF1BE">
      <w:start w:val="1"/>
      <w:numFmt w:val="bullet"/>
      <w:lvlText w:val=""/>
      <w:lvlJc w:val="left"/>
      <w:pPr>
        <w:ind w:left="5040" w:hanging="360"/>
      </w:pPr>
      <w:rPr>
        <w:rFonts w:ascii="Symbol" w:hAnsi="Symbol" w:hint="default"/>
      </w:rPr>
    </w:lvl>
    <w:lvl w:ilvl="7" w:tplc="A10CBCE6">
      <w:start w:val="1"/>
      <w:numFmt w:val="bullet"/>
      <w:lvlText w:val="o"/>
      <w:lvlJc w:val="left"/>
      <w:pPr>
        <w:ind w:left="5760" w:hanging="360"/>
      </w:pPr>
      <w:rPr>
        <w:rFonts w:ascii="Courier New" w:hAnsi="Courier New" w:hint="default"/>
      </w:rPr>
    </w:lvl>
    <w:lvl w:ilvl="8" w:tplc="7BEEFF2E">
      <w:start w:val="1"/>
      <w:numFmt w:val="bullet"/>
      <w:lvlText w:val=""/>
      <w:lvlJc w:val="left"/>
      <w:pPr>
        <w:ind w:left="6480" w:hanging="360"/>
      </w:pPr>
      <w:rPr>
        <w:rFonts w:ascii="Wingdings" w:hAnsi="Wingdings" w:hint="default"/>
      </w:rPr>
    </w:lvl>
  </w:abstractNum>
  <w:num w:numId="1" w16cid:durableId="1645894281">
    <w:abstractNumId w:val="1"/>
  </w:num>
  <w:num w:numId="2" w16cid:durableId="19446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6F"/>
    <w:rsid w:val="0006756A"/>
    <w:rsid w:val="0008571E"/>
    <w:rsid w:val="000C6E23"/>
    <w:rsid w:val="000D5E2F"/>
    <w:rsid w:val="000D723D"/>
    <w:rsid w:val="0010468D"/>
    <w:rsid w:val="0012168F"/>
    <w:rsid w:val="00162012"/>
    <w:rsid w:val="00167959"/>
    <w:rsid w:val="001A5D09"/>
    <w:rsid w:val="001E4182"/>
    <w:rsid w:val="00237257"/>
    <w:rsid w:val="002439CC"/>
    <w:rsid w:val="002C57D6"/>
    <w:rsid w:val="002E4AEC"/>
    <w:rsid w:val="002E7193"/>
    <w:rsid w:val="002F7DB7"/>
    <w:rsid w:val="003034DF"/>
    <w:rsid w:val="00314BFC"/>
    <w:rsid w:val="00315870"/>
    <w:rsid w:val="003226AA"/>
    <w:rsid w:val="00353A59"/>
    <w:rsid w:val="003A2E4D"/>
    <w:rsid w:val="003A6D6B"/>
    <w:rsid w:val="003C4A9F"/>
    <w:rsid w:val="003E4AAD"/>
    <w:rsid w:val="00444672"/>
    <w:rsid w:val="00446AFC"/>
    <w:rsid w:val="0049323C"/>
    <w:rsid w:val="004E5B1B"/>
    <w:rsid w:val="004E7B2C"/>
    <w:rsid w:val="00573830"/>
    <w:rsid w:val="005760A5"/>
    <w:rsid w:val="00586CAC"/>
    <w:rsid w:val="005937CA"/>
    <w:rsid w:val="005A3B2F"/>
    <w:rsid w:val="005A7EE9"/>
    <w:rsid w:val="005C0069"/>
    <w:rsid w:val="005D5EFE"/>
    <w:rsid w:val="005D6E35"/>
    <w:rsid w:val="005F3A1E"/>
    <w:rsid w:val="00680FAF"/>
    <w:rsid w:val="006832EF"/>
    <w:rsid w:val="00694819"/>
    <w:rsid w:val="006A28AF"/>
    <w:rsid w:val="006A414B"/>
    <w:rsid w:val="006A6DFF"/>
    <w:rsid w:val="006F0DCA"/>
    <w:rsid w:val="006F3A7B"/>
    <w:rsid w:val="00705668"/>
    <w:rsid w:val="00734E9E"/>
    <w:rsid w:val="0074316A"/>
    <w:rsid w:val="00782CC4"/>
    <w:rsid w:val="007C4ED2"/>
    <w:rsid w:val="00834BC7"/>
    <w:rsid w:val="008634F7"/>
    <w:rsid w:val="00872013"/>
    <w:rsid w:val="00876641"/>
    <w:rsid w:val="0088477B"/>
    <w:rsid w:val="0088770A"/>
    <w:rsid w:val="00894F6C"/>
    <w:rsid w:val="008A73BF"/>
    <w:rsid w:val="008D2BF7"/>
    <w:rsid w:val="009013AD"/>
    <w:rsid w:val="00913040"/>
    <w:rsid w:val="00932B16"/>
    <w:rsid w:val="00934A2C"/>
    <w:rsid w:val="00945015"/>
    <w:rsid w:val="0096751D"/>
    <w:rsid w:val="0097221C"/>
    <w:rsid w:val="00981F6F"/>
    <w:rsid w:val="00993B6E"/>
    <w:rsid w:val="00994DF8"/>
    <w:rsid w:val="009C31DA"/>
    <w:rsid w:val="009C3F74"/>
    <w:rsid w:val="009D3063"/>
    <w:rsid w:val="00A02032"/>
    <w:rsid w:val="00A8334A"/>
    <w:rsid w:val="00AA525B"/>
    <w:rsid w:val="00AA6B69"/>
    <w:rsid w:val="00AD33A8"/>
    <w:rsid w:val="00AE67A0"/>
    <w:rsid w:val="00AF6A5F"/>
    <w:rsid w:val="00AF7A7E"/>
    <w:rsid w:val="00B07872"/>
    <w:rsid w:val="00B11ABE"/>
    <w:rsid w:val="00B14CEB"/>
    <w:rsid w:val="00B17AD1"/>
    <w:rsid w:val="00B21F2B"/>
    <w:rsid w:val="00B40DF3"/>
    <w:rsid w:val="00B424EC"/>
    <w:rsid w:val="00B50D83"/>
    <w:rsid w:val="00B73D99"/>
    <w:rsid w:val="00B77565"/>
    <w:rsid w:val="00B861B7"/>
    <w:rsid w:val="00BB033A"/>
    <w:rsid w:val="00BE4D24"/>
    <w:rsid w:val="00BF1893"/>
    <w:rsid w:val="00C42117"/>
    <w:rsid w:val="00C534DF"/>
    <w:rsid w:val="00C723E4"/>
    <w:rsid w:val="00C96E31"/>
    <w:rsid w:val="00CC5CE3"/>
    <w:rsid w:val="00CD2405"/>
    <w:rsid w:val="00CD3F11"/>
    <w:rsid w:val="00CE0321"/>
    <w:rsid w:val="00D05C17"/>
    <w:rsid w:val="00D06219"/>
    <w:rsid w:val="00D225C0"/>
    <w:rsid w:val="00D26657"/>
    <w:rsid w:val="00D82C7A"/>
    <w:rsid w:val="00D94EB4"/>
    <w:rsid w:val="00DA0356"/>
    <w:rsid w:val="00DC5B8F"/>
    <w:rsid w:val="00DD4EA2"/>
    <w:rsid w:val="00DF5A5A"/>
    <w:rsid w:val="00E03A75"/>
    <w:rsid w:val="00E0564E"/>
    <w:rsid w:val="00E1536F"/>
    <w:rsid w:val="00E27CF2"/>
    <w:rsid w:val="00E33682"/>
    <w:rsid w:val="00E34AEB"/>
    <w:rsid w:val="00E44B68"/>
    <w:rsid w:val="00E53E28"/>
    <w:rsid w:val="00E819E2"/>
    <w:rsid w:val="00E92959"/>
    <w:rsid w:val="00EB28ED"/>
    <w:rsid w:val="00EC1786"/>
    <w:rsid w:val="00EE17AA"/>
    <w:rsid w:val="00F20E22"/>
    <w:rsid w:val="00F258BE"/>
    <w:rsid w:val="00F35317"/>
    <w:rsid w:val="00F46731"/>
    <w:rsid w:val="00F514BC"/>
    <w:rsid w:val="00F95341"/>
    <w:rsid w:val="00FB4C53"/>
    <w:rsid w:val="00FC7432"/>
    <w:rsid w:val="03AAC37F"/>
    <w:rsid w:val="086EA947"/>
    <w:rsid w:val="09504EA3"/>
    <w:rsid w:val="0ADA33D2"/>
    <w:rsid w:val="0BCCB264"/>
    <w:rsid w:val="0BE2324B"/>
    <w:rsid w:val="0D5B9630"/>
    <w:rsid w:val="0D6EB73F"/>
    <w:rsid w:val="0EB79566"/>
    <w:rsid w:val="0EF801A8"/>
    <w:rsid w:val="10D6BED5"/>
    <w:rsid w:val="113D091F"/>
    <w:rsid w:val="13953447"/>
    <w:rsid w:val="14ED8972"/>
    <w:rsid w:val="17F851E9"/>
    <w:rsid w:val="19672877"/>
    <w:rsid w:val="1A33EFC9"/>
    <w:rsid w:val="1B54B8FA"/>
    <w:rsid w:val="20F6EAA1"/>
    <w:rsid w:val="21492164"/>
    <w:rsid w:val="21D7DC75"/>
    <w:rsid w:val="225144C6"/>
    <w:rsid w:val="22DCAA19"/>
    <w:rsid w:val="2362C38A"/>
    <w:rsid w:val="239563B3"/>
    <w:rsid w:val="259D6BA7"/>
    <w:rsid w:val="2696E49F"/>
    <w:rsid w:val="279FA7BA"/>
    <w:rsid w:val="28E866A1"/>
    <w:rsid w:val="2B59181C"/>
    <w:rsid w:val="2C683895"/>
    <w:rsid w:val="2C8F5820"/>
    <w:rsid w:val="2CE16AB5"/>
    <w:rsid w:val="2EF5F6F9"/>
    <w:rsid w:val="306B84A8"/>
    <w:rsid w:val="32623B7E"/>
    <w:rsid w:val="32BA6F7B"/>
    <w:rsid w:val="370A5A3D"/>
    <w:rsid w:val="3869FB40"/>
    <w:rsid w:val="3996E81D"/>
    <w:rsid w:val="3AD3F917"/>
    <w:rsid w:val="4311F1B8"/>
    <w:rsid w:val="434126B1"/>
    <w:rsid w:val="497EC017"/>
    <w:rsid w:val="4B03E8EF"/>
    <w:rsid w:val="4B239E12"/>
    <w:rsid w:val="4BD76E6E"/>
    <w:rsid w:val="4C1D1004"/>
    <w:rsid w:val="4C5EB4D6"/>
    <w:rsid w:val="4CF5E600"/>
    <w:rsid w:val="4DA31A23"/>
    <w:rsid w:val="4E0AF738"/>
    <w:rsid w:val="4E0CBCB9"/>
    <w:rsid w:val="4E6EC645"/>
    <w:rsid w:val="5213F399"/>
    <w:rsid w:val="538EB3F6"/>
    <w:rsid w:val="53BB9124"/>
    <w:rsid w:val="57F04A2B"/>
    <w:rsid w:val="5D7D8030"/>
    <w:rsid w:val="5F2B9764"/>
    <w:rsid w:val="5FB52863"/>
    <w:rsid w:val="621C8A75"/>
    <w:rsid w:val="63CC46BC"/>
    <w:rsid w:val="670D7141"/>
    <w:rsid w:val="67A033D6"/>
    <w:rsid w:val="6AD34D32"/>
    <w:rsid w:val="6ADC07F3"/>
    <w:rsid w:val="6BA5F8C4"/>
    <w:rsid w:val="6EC623CD"/>
    <w:rsid w:val="6EE5019F"/>
    <w:rsid w:val="743D33F1"/>
    <w:rsid w:val="760A7722"/>
    <w:rsid w:val="77AC4B1D"/>
    <w:rsid w:val="7813B5B8"/>
    <w:rsid w:val="7A440E7D"/>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D087D"/>
  <w15:chartTrackingRefBased/>
  <w15:docId w15:val="{D01E2EE3-8EC9-40EA-B44C-59E7CE1A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81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F6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981F6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981F6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981F6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981F6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981F6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81F6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981F6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81F6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81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F6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81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F6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81F6F"/>
    <w:pPr>
      <w:spacing w:before="160"/>
      <w:jc w:val="center"/>
    </w:pPr>
    <w:rPr>
      <w:i/>
      <w:iCs/>
      <w:color w:val="404040" w:themeColor="text1" w:themeTint="BF"/>
    </w:rPr>
  </w:style>
  <w:style w:type="character" w:customStyle="1" w:styleId="QuoteChar">
    <w:name w:val="Quote Char"/>
    <w:basedOn w:val="DefaultParagraphFont"/>
    <w:link w:val="Quote"/>
    <w:uiPriority w:val="29"/>
    <w:rsid w:val="00981F6F"/>
    <w:rPr>
      <w:i/>
      <w:iCs/>
      <w:color w:val="404040" w:themeColor="text1" w:themeTint="BF"/>
      <w:lang w:val="en-US"/>
    </w:rPr>
  </w:style>
  <w:style w:type="paragraph" w:styleId="ListParagraph">
    <w:name w:val="List Paragraph"/>
    <w:basedOn w:val="Normal"/>
    <w:uiPriority w:val="34"/>
    <w:qFormat/>
    <w:rsid w:val="00981F6F"/>
    <w:pPr>
      <w:ind w:left="720"/>
      <w:contextualSpacing/>
    </w:pPr>
  </w:style>
  <w:style w:type="character" w:styleId="IntenseEmphasis">
    <w:name w:val="Intense Emphasis"/>
    <w:basedOn w:val="DefaultParagraphFont"/>
    <w:uiPriority w:val="21"/>
    <w:qFormat/>
    <w:rsid w:val="00981F6F"/>
    <w:rPr>
      <w:i/>
      <w:iCs/>
      <w:color w:val="0F4761" w:themeColor="accent1" w:themeShade="BF"/>
    </w:rPr>
  </w:style>
  <w:style w:type="paragraph" w:styleId="IntenseQuote">
    <w:name w:val="Intense Quote"/>
    <w:basedOn w:val="Normal"/>
    <w:next w:val="Normal"/>
    <w:link w:val="IntenseQuoteChar"/>
    <w:uiPriority w:val="30"/>
    <w:qFormat/>
    <w:rsid w:val="00981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F6F"/>
    <w:rPr>
      <w:i/>
      <w:iCs/>
      <w:color w:val="0F4761" w:themeColor="accent1" w:themeShade="BF"/>
      <w:lang w:val="en-US"/>
    </w:rPr>
  </w:style>
  <w:style w:type="character" w:styleId="IntenseReference">
    <w:name w:val="Intense Reference"/>
    <w:basedOn w:val="DefaultParagraphFont"/>
    <w:uiPriority w:val="32"/>
    <w:qFormat/>
    <w:rsid w:val="00981F6F"/>
    <w:rPr>
      <w:b/>
      <w:bCs/>
      <w:smallCaps/>
      <w:color w:val="0F4761" w:themeColor="accent1" w:themeShade="BF"/>
      <w:spacing w:val="5"/>
    </w:rPr>
  </w:style>
  <w:style w:type="table" w:styleId="TableGrid">
    <w:name w:val="Table Grid"/>
    <w:basedOn w:val="TableNormal"/>
    <w:uiPriority w:val="39"/>
    <w:rsid w:val="00C7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317"/>
    <w:rPr>
      <w:lang w:val="en-US"/>
    </w:rPr>
  </w:style>
  <w:style w:type="paragraph" w:styleId="Footer">
    <w:name w:val="footer"/>
    <w:basedOn w:val="Normal"/>
    <w:link w:val="FooterChar"/>
    <w:uiPriority w:val="99"/>
    <w:unhideWhenUsed/>
    <w:rsid w:val="00F35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317"/>
    <w:rPr>
      <w:lang w:val="en-US"/>
    </w:rPr>
  </w:style>
  <w:style w:type="paragraph" w:styleId="Revision">
    <w:name w:val="Revision"/>
    <w:hidden/>
    <w:uiPriority w:val="99"/>
    <w:semiHidden/>
    <w:rsid w:val="008D2BF7"/>
    <w:pPr>
      <w:spacing w:after="0" w:line="240" w:lineRule="auto"/>
    </w:pPr>
    <w:rPr>
      <w:lang w:val="en-US"/>
    </w:rPr>
  </w:style>
  <w:style w:type="character" w:styleId="CommentReference">
    <w:name w:val="annotation reference"/>
    <w:basedOn w:val="DefaultParagraphFont"/>
    <w:uiPriority w:val="99"/>
    <w:semiHidden/>
    <w:unhideWhenUsed/>
    <w:rsid w:val="0088770A"/>
    <w:rPr>
      <w:sz w:val="16"/>
      <w:szCs w:val="16"/>
    </w:rPr>
  </w:style>
  <w:style w:type="paragraph" w:styleId="CommentText">
    <w:name w:val="annotation text"/>
    <w:basedOn w:val="Normal"/>
    <w:link w:val="CommentTextChar"/>
    <w:uiPriority w:val="99"/>
    <w:unhideWhenUsed/>
    <w:rsid w:val="0088770A"/>
    <w:pPr>
      <w:spacing w:line="240" w:lineRule="auto"/>
    </w:pPr>
    <w:rPr>
      <w:sz w:val="20"/>
      <w:szCs w:val="20"/>
    </w:rPr>
  </w:style>
  <w:style w:type="character" w:customStyle="1" w:styleId="CommentTextChar">
    <w:name w:val="Comment Text Char"/>
    <w:basedOn w:val="DefaultParagraphFont"/>
    <w:link w:val="CommentText"/>
    <w:uiPriority w:val="99"/>
    <w:rsid w:val="0088770A"/>
    <w:rPr>
      <w:sz w:val="20"/>
      <w:szCs w:val="20"/>
      <w:lang w:val="en-US"/>
    </w:rPr>
  </w:style>
  <w:style w:type="paragraph" w:styleId="CommentSubject">
    <w:name w:val="annotation subject"/>
    <w:basedOn w:val="CommentText"/>
    <w:next w:val="CommentText"/>
    <w:link w:val="CommentSubjectChar"/>
    <w:uiPriority w:val="99"/>
    <w:semiHidden/>
    <w:unhideWhenUsed/>
    <w:rsid w:val="0088770A"/>
    <w:rPr>
      <w:b/>
      <w:bCs/>
    </w:rPr>
  </w:style>
  <w:style w:type="character" w:customStyle="1" w:styleId="CommentSubjectChar">
    <w:name w:val="Comment Subject Char"/>
    <w:basedOn w:val="CommentTextChar"/>
    <w:link w:val="CommentSubject"/>
    <w:uiPriority w:val="99"/>
    <w:semiHidden/>
    <w:rsid w:val="0088770A"/>
    <w:rPr>
      <w:b/>
      <w:bCs/>
      <w:sz w:val="20"/>
      <w:szCs w:val="20"/>
      <w:lang w:val="en-US"/>
    </w:rPr>
  </w:style>
  <w:style w:type="paragraph" w:styleId="FootnoteText">
    <w:name w:val="footnote text"/>
    <w:basedOn w:val="Normal"/>
    <w:link w:val="FootnoteTextChar"/>
    <w:uiPriority w:val="99"/>
    <w:semiHidden/>
    <w:unhideWhenUsed/>
    <w:rsid w:val="006F0DCA"/>
    <w:pPr>
      <w:spacing w:after="0" w:line="240" w:lineRule="auto"/>
    </w:pPr>
    <w:rPr>
      <w:kern w:val="0"/>
      <w:sz w:val="20"/>
      <w:szCs w:val="20"/>
      <w:lang w:val="en-ZA"/>
      <w14:ligatures w14:val="none"/>
    </w:rPr>
  </w:style>
  <w:style w:type="character" w:customStyle="1" w:styleId="FootnoteTextChar">
    <w:name w:val="Footnote Text Char"/>
    <w:basedOn w:val="DefaultParagraphFont"/>
    <w:link w:val="FootnoteText"/>
    <w:uiPriority w:val="99"/>
    <w:semiHidden/>
    <w:rsid w:val="006F0DCA"/>
    <w:rPr>
      <w:kern w:val="0"/>
      <w:sz w:val="20"/>
      <w:szCs w:val="20"/>
      <w14:ligatures w14:val="none"/>
    </w:rPr>
  </w:style>
  <w:style w:type="character" w:styleId="FootnoteReference">
    <w:name w:val="footnote reference"/>
    <w:basedOn w:val="DefaultParagraphFont"/>
    <w:uiPriority w:val="99"/>
    <w:semiHidden/>
    <w:unhideWhenUsed/>
    <w:rsid w:val="006F0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99434">
      <w:bodyDiv w:val="1"/>
      <w:marLeft w:val="0"/>
      <w:marRight w:val="0"/>
      <w:marTop w:val="0"/>
      <w:marBottom w:val="0"/>
      <w:divBdr>
        <w:top w:val="none" w:sz="0" w:space="0" w:color="auto"/>
        <w:left w:val="none" w:sz="0" w:space="0" w:color="auto"/>
        <w:bottom w:val="none" w:sz="0" w:space="0" w:color="auto"/>
        <w:right w:val="none" w:sz="0" w:space="0" w:color="auto"/>
      </w:divBdr>
    </w:div>
    <w:div w:id="838814917">
      <w:bodyDiv w:val="1"/>
      <w:marLeft w:val="0"/>
      <w:marRight w:val="0"/>
      <w:marTop w:val="0"/>
      <w:marBottom w:val="0"/>
      <w:divBdr>
        <w:top w:val="none" w:sz="0" w:space="0" w:color="auto"/>
        <w:left w:val="none" w:sz="0" w:space="0" w:color="auto"/>
        <w:bottom w:val="none" w:sz="0" w:space="0" w:color="auto"/>
        <w:right w:val="none" w:sz="0" w:space="0" w:color="auto"/>
      </w:divBdr>
    </w:div>
    <w:div w:id="1459033113">
      <w:bodyDiv w:val="1"/>
      <w:marLeft w:val="0"/>
      <w:marRight w:val="0"/>
      <w:marTop w:val="0"/>
      <w:marBottom w:val="0"/>
      <w:divBdr>
        <w:top w:val="none" w:sz="0" w:space="0" w:color="auto"/>
        <w:left w:val="none" w:sz="0" w:space="0" w:color="auto"/>
        <w:bottom w:val="none" w:sz="0" w:space="0" w:color="auto"/>
        <w:right w:val="none" w:sz="0" w:space="0" w:color="auto"/>
      </w:divBdr>
    </w:div>
    <w:div w:id="19173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1553</Words>
  <Characters>9774</Characters>
  <Application>Microsoft Office Word</Application>
  <DocSecurity>0</DocSecurity>
  <Lines>141</Lines>
  <Paragraphs>51</Paragraphs>
  <ScaleCrop>false</ScaleCrop>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Liezelle Kumalo</dc:creator>
  <cp:keywords/>
  <dc:description/>
  <cp:lastModifiedBy>Liezelle Kumalo</cp:lastModifiedBy>
  <cp:revision>26</cp:revision>
  <dcterms:created xsi:type="dcterms:W3CDTF">2025-06-10T05:54:00Z</dcterms:created>
  <dcterms:modified xsi:type="dcterms:W3CDTF">2025-06-10T06:14:00Z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e4aaecbb-7771-4942-bd4f-8ce8cc97dfd7</vt:lpwstr>
  </property>
</Properties>
</file>